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0"/>
          <w:szCs w:val="20"/>
        </w:rPr>
        <w:t xml:space="preserve">DATED 31 OCTOBER 2025</w:t>
      </w:r>
    </w:p>
    <w:p>
      <w:pPr>
        <w:spacing w:after="200"/>
        <w:jc w:val="center"/>
      </w:pPr>
      <w:r>
        <w:rPr>
          <w:b/>
          <w:bCs/>
          <w:sz w:val="24"/>
          <w:szCs w:val="24"/>
        </w:rPr>
        <w:t xml:space="preserve">ALDERMORE ROBOTICS LIMITED — INVESTOR RIGHTS AGREEMENT</w:t>
      </w:r>
    </w:p>
    <w:p>
      <w:pPr>
        <w:spacing w:after="120" w:line="276"/>
      </w:pPr>
      <w:r>
        <w:rPr>
          <w:b/>
          <w:bCs/>
        </w:rPr>
        <w:t xml:space="preserve">THIS AGREEMENT</w:t>
      </w:r>
      <w:r>
        <w:t xml:space="preserve"> is made on 31 October 2025 between (1) ALDERMORE ROBOTICS LIMITED (the “Company”); (2) the FOUNDERS named in Schedule 1; and (3) the INVESTORS named in Schedule 2 (the “Investors”). It is supplemental to the Series B Subscription and Shareholders’ Agreement of the same date (the “Subscription Agreement”).</w:t>
      </w:r>
    </w:p>
    <w:p>
      <w:pPr>
        <w:spacing w:after="120" w:line="276"/>
      </w:pPr>
      <w:r>
        <w:rPr>
          <w:b/>
          <w:bCs/>
        </w:rPr>
        <w:t xml:space="preserve">BACKGROUND.</w:t>
      </w:r>
      <w:r>
        <w:t xml:space="preserve"> This Agreement sets out the information rights, board composition, consent rights and other protective provisions afforded to the Investors in connection with their subscription for Series B Shares.</w:t>
      </w:r>
    </w:p>
    <w:p>
      <w:pPr>
        <w:tabs>
          <w:tab w:val="left" w:pos="600"/>
        </w:tabs>
        <w:spacing w:after="120" w:before="240"/>
      </w:pPr>
      <w:r>
        <w:rPr>
          <w:b/>
          <w:bCs/>
        </w:rPr>
        <w:t xml:space="preserve">1.</w:t>
      </w:r>
      <w:r>
        <w:rPr>
          <w:b/>
          <w:bCs/>
        </w:rPr>
        <w:t xml:space="preserve">	DEFINITIONS</w:t>
      </w:r>
    </w:p>
    <w:p>
      <w:pPr>
        <w:tabs>
          <w:tab w:val="left" w:pos="600"/>
        </w:tabs>
        <w:spacing w:after="120" w:line="276"/>
        <w:ind w:left="600" w:hanging="600"/>
      </w:pPr>
      <w:r>
        <w:t xml:space="preserve">1.1	</w:t>
      </w:r>
      <w:r>
        <w:t xml:space="preserve">Terms defined in the Subscription Agreement have the same meaning in this Agreement unless otherwise stated. “Investor Director” means the director appointed by the Lead Investor under clause 3. “Qualifying Holder” means an Investor holding not less than 5% of the issued share capital of the Company. “Reserved Matters” means the matters listed in Schedule 3.</w:t>
      </w:r>
    </w:p>
    <w:p>
      <w:pPr>
        <w:tabs>
          <w:tab w:val="left" w:pos="600"/>
        </w:tabs>
        <w:spacing w:after="120" w:before="240"/>
      </w:pPr>
      <w:r>
        <w:rPr>
          <w:b/>
          <w:bCs/>
        </w:rPr>
        <w:t xml:space="preserve">2.</w:t>
      </w:r>
      <w:r>
        <w:rPr>
          <w:b/>
          <w:bCs/>
        </w:rPr>
        <w:t xml:space="preserve">	INFORMATION RIGHTS</w:t>
      </w:r>
    </w:p>
    <w:p>
      <w:pPr>
        <w:tabs>
          <w:tab w:val="left" w:pos="600"/>
        </w:tabs>
        <w:spacing w:after="120" w:line="276"/>
        <w:ind w:left="600" w:hanging="600"/>
      </w:pPr>
      <w:r>
        <w:t xml:space="preserve">2.1	</w:t>
      </w:r>
      <w:r>
        <w:t xml:space="preserve">For so long as it is a Qualifying Holder, each Investor is entitled to receive from the Company:</w:t>
      </w:r>
    </w:p>
    <w:p>
      <w:pPr>
        <w:pStyle w:val="ListParagraph"/>
        <w:numPr>
          <w:ilvl w:val="0"/>
          <w:numId w:val="2"/>
        </w:numPr>
        <w:spacing w:after="80" w:line="276"/>
      </w:pPr>
      <w:r>
        <w:t xml:space="preserve">audited consolidated accounts of the Group within four months of the end of each financial year;</w:t>
      </w:r>
    </w:p>
    <w:p>
      <w:pPr>
        <w:pStyle w:val="ListParagraph"/>
        <w:numPr>
          <w:ilvl w:val="0"/>
          <w:numId w:val="2"/>
        </w:numPr>
        <w:spacing w:after="80" w:line="276"/>
      </w:pPr>
      <w:r>
        <w:t xml:space="preserve">unaudited monthly management accounts (including profit and loss, balance sheet, cash-flow and a comparison against budget) within 20 Business Days of the end of each month;</w:t>
      </w:r>
    </w:p>
    <w:p>
      <w:pPr>
        <w:pStyle w:val="ListParagraph"/>
        <w:numPr>
          <w:ilvl w:val="0"/>
          <w:numId w:val="2"/>
        </w:numPr>
        <w:spacing w:after="80" w:line="276"/>
      </w:pPr>
      <w:r>
        <w:t xml:space="preserve">an annual budget and business plan, in a form approved by the Board, not less than 30 days before the start of each financial year;</w:t>
      </w:r>
    </w:p>
    <w:p>
      <w:pPr>
        <w:pStyle w:val="ListParagraph"/>
        <w:numPr>
          <w:ilvl w:val="0"/>
          <w:numId w:val="2"/>
        </w:numPr>
        <w:spacing w:after="80" w:line="276"/>
      </w:pPr>
      <w:r>
        <w:t xml:space="preserve">a quarterly investor update covering KPIs, pipeline, headcount and cash runway; and</w:t>
      </w:r>
    </w:p>
    <w:p>
      <w:pPr>
        <w:pStyle w:val="ListParagraph"/>
        <w:numPr>
          <w:ilvl w:val="0"/>
          <w:numId w:val="2"/>
        </w:numPr>
        <w:spacing w:after="80" w:line="276"/>
      </w:pPr>
      <w:r>
        <w:t xml:space="preserve">such other information relating to the Group as the Investor reasonably requests.</w:t>
      </w:r>
    </w:p>
    <w:p>
      <w:pPr>
        <w:tabs>
          <w:tab w:val="left" w:pos="600"/>
        </w:tabs>
        <w:spacing w:after="120" w:line="276"/>
        <w:ind w:left="600" w:hanging="600"/>
      </w:pPr>
      <w:r>
        <w:t xml:space="preserve">2.2	</w:t>
      </w:r>
      <w:r>
        <w:t xml:space="preserve">Each Investor that is a Qualifying Holder has the right, on reasonable notice and during normal business hours, to inspect the books and records of any Group Company and to discuss the affairs of the Group with its directors and senior management.</w:t>
      </w:r>
    </w:p>
    <w:p>
      <w:pPr>
        <w:tabs>
          <w:tab w:val="left" w:pos="600"/>
        </w:tabs>
        <w:spacing w:after="120" w:before="240"/>
      </w:pPr>
      <w:r>
        <w:rPr>
          <w:b/>
          <w:bCs/>
        </w:rPr>
        <w:t xml:space="preserve">3.</w:t>
      </w:r>
      <w:r>
        <w:rPr>
          <w:b/>
          <w:bCs/>
        </w:rPr>
        <w:t xml:space="preserve">	BOARD COMPOSITION</w:t>
      </w:r>
    </w:p>
    <w:p>
      <w:pPr>
        <w:tabs>
          <w:tab w:val="left" w:pos="600"/>
        </w:tabs>
        <w:spacing w:after="120" w:line="276"/>
        <w:ind w:left="600" w:hanging="600"/>
      </w:pPr>
      <w:r>
        <w:t xml:space="preserve">3.1	</w:t>
      </w:r>
      <w:r>
        <w:t xml:space="preserve">The Lead Investor is entitled to appoint and remove one Investor Director and one non-voting observer to the Board for so long as it is a Qualifying Holder. The Board shall comprise no more than five directors: two Founder directors, the Investor Director, the existing Series A investor director, and one independent non-executive director appointed by the Board with the approval of the Investor Majority.</w:t>
      </w:r>
    </w:p>
    <w:p>
      <w:pPr>
        <w:tabs>
          <w:tab w:val="left" w:pos="600"/>
        </w:tabs>
        <w:spacing w:after="120" w:line="276"/>
        <w:ind w:left="600" w:hanging="600"/>
      </w:pPr>
      <w:r>
        <w:t xml:space="preserve">3.2	</w:t>
      </w:r>
      <w:r>
        <w:t xml:space="preserve">The Company shall convene a meeting of the Board not less than once every calendar month. The quorum for a Board meeting shall include the Investor Director (or the observer) unless the Investor Director has waived the requirement in writing or has failed to attend two consecutive duly convened meetings.</w:t>
      </w:r>
    </w:p>
    <w:p>
      <w:pPr>
        <w:tabs>
          <w:tab w:val="left" w:pos="600"/>
        </w:tabs>
        <w:spacing w:after="120" w:line="276"/>
        <w:ind w:left="600" w:hanging="600"/>
      </w:pPr>
      <w:r>
        <w:t xml:space="preserve">3.3	</w:t>
      </w:r>
      <w:r>
        <w:t xml:space="preserve">The Company shall maintain directors’ and officers’ liability insurance covering the Investor Director on terms reasonably satisfactory to the Lead Investor.</w:t>
      </w:r>
    </w:p>
    <w:p>
      <w:pPr>
        <w:tabs>
          <w:tab w:val="left" w:pos="600"/>
        </w:tabs>
        <w:spacing w:after="120" w:before="240"/>
      </w:pPr>
      <w:r>
        <w:rPr>
          <w:b/>
          <w:bCs/>
        </w:rPr>
        <w:t xml:space="preserve">4.</w:t>
      </w:r>
      <w:r>
        <w:rPr>
          <w:b/>
          <w:bCs/>
        </w:rPr>
        <w:t xml:space="preserve">	RESERVED MATTERS</w:t>
      </w:r>
    </w:p>
    <w:p>
      <w:pPr>
        <w:tabs>
          <w:tab w:val="left" w:pos="600"/>
        </w:tabs>
        <w:spacing w:after="120" w:line="276"/>
        <w:ind w:left="600" w:hanging="600"/>
      </w:pPr>
      <w:r>
        <w:t xml:space="preserve">4.1	</w:t>
      </w:r>
      <w:r>
        <w:t xml:space="preserve">The Company shall not, and the Founders shall procure that no Group Company shall, take any action in respect of a Reserved Matter without the prior written consent of the Investor Majority.</w:t>
      </w:r>
    </w:p>
    <w:p>
      <w:pPr>
        <w:tabs>
          <w:tab w:val="left" w:pos="600"/>
        </w:tabs>
        <w:spacing w:after="120" w:line="276"/>
        <w:ind w:left="600" w:hanging="600"/>
      </w:pPr>
      <w:r>
        <w:t xml:space="preserve">4.2	</w:t>
      </w:r>
      <w:r>
        <w:t xml:space="preserve">The Reserved Matters are set out in Schedule 3 and include, among other things: any alteration to the share capital or the rights attaching to any class of shares; the creation of any new class of shares; the declaration of any dividend; the adoption of or any material departure from the annual budget; the incurring of borrowings exceeding £1,000,000 in aggregate; capital expenditure exceeding £500,000 not provided for in the budget; the acquisition or disposal of any business or material asset; the entry into any related-party transaction; any change to the nature of the Business; the appointment or removal of the auditors; the commencement or settlement of any material litigation; and any Sale, Listing or winding-up of the Company.</w:t>
      </w:r>
    </w:p>
    <w:p>
      <w:pPr>
        <w:tabs>
          <w:tab w:val="left" w:pos="600"/>
        </w:tabs>
        <w:spacing w:after="120" w:before="240"/>
      </w:pPr>
      <w:r>
        <w:rPr>
          <w:b/>
          <w:bCs/>
        </w:rPr>
        <w:t xml:space="preserve">5.</w:t>
      </w:r>
      <w:r>
        <w:rPr>
          <w:b/>
          <w:bCs/>
        </w:rPr>
        <w:t xml:space="preserve">	PRE-EMPTION ON NEW ISSUES</w:t>
      </w:r>
    </w:p>
    <w:p>
      <w:pPr>
        <w:tabs>
          <w:tab w:val="left" w:pos="600"/>
        </w:tabs>
        <w:spacing w:after="120" w:line="276"/>
        <w:ind w:left="600" w:hanging="600"/>
      </w:pPr>
      <w:r>
        <w:t xml:space="preserve">5.1	</w:t>
      </w:r>
      <w:r>
        <w:t xml:space="preserve">Save in respect of Permitted Issues, the Company shall not allot any new shares unless it first offers them to the holders of Series B Shares and other equity shares pro rata to their existing holdings, on the same terms, by written notice giving not less than 15 Business Days to accept. “Permitted Issues” include the grant and exercise of options under the Company’s approved share option scheme up to the size of the option pool and shares issued on a bona fide acquisition approved as a Reserved Matter.</w:t>
      </w:r>
    </w:p>
    <w:p>
      <w:pPr>
        <w:tabs>
          <w:tab w:val="left" w:pos="600"/>
        </w:tabs>
        <w:spacing w:after="120" w:before="240"/>
      </w:pPr>
      <w:r>
        <w:rPr>
          <w:b/>
          <w:bCs/>
        </w:rPr>
        <w:t xml:space="preserve">6.</w:t>
      </w:r>
      <w:r>
        <w:rPr>
          <w:b/>
          <w:bCs/>
        </w:rPr>
        <w:t xml:space="preserve">	ANTI-DILUTION</w:t>
      </w:r>
    </w:p>
    <w:p>
      <w:pPr>
        <w:tabs>
          <w:tab w:val="left" w:pos="600"/>
        </w:tabs>
        <w:spacing w:after="120" w:line="276"/>
        <w:ind w:left="600" w:hanging="600"/>
      </w:pPr>
      <w:r>
        <w:t xml:space="preserve">6.1	</w:t>
      </w:r>
      <w:r>
        <w:t xml:space="preserve">If the Company issues any new shares (other than a Permitted Issue) at a price per share less than the Issue Price, the conversion price of the Series B Shares shall be adjusted on a broad-based weighted average basis in accordance with the formula set out in the Articles, so as to mitigate the dilutive effect on the holders of Series B Shares.</w:t>
      </w:r>
    </w:p>
    <w:p>
      <w:pPr>
        <w:tabs>
          <w:tab w:val="left" w:pos="600"/>
        </w:tabs>
        <w:spacing w:after="120" w:before="240"/>
      </w:pPr>
      <w:r>
        <w:rPr>
          <w:b/>
          <w:bCs/>
        </w:rPr>
        <w:t xml:space="preserve">7.</w:t>
      </w:r>
      <w:r>
        <w:rPr>
          <w:b/>
          <w:bCs/>
        </w:rPr>
        <w:t xml:space="preserve">	TRANSFERS, DRAG AND TAG</w:t>
      </w:r>
    </w:p>
    <w:p>
      <w:pPr>
        <w:tabs>
          <w:tab w:val="left" w:pos="600"/>
        </w:tabs>
        <w:spacing w:after="120" w:line="276"/>
        <w:ind w:left="600" w:hanging="600"/>
      </w:pPr>
      <w:r>
        <w:t xml:space="preserve">7.1	</w:t>
      </w:r>
      <w:r>
        <w:t xml:space="preserve">Transfers of shares are subject to the pre-emption, drag-along and tag-along provisions in the Articles. No Founder may transfer any shares (otherwise than a Permitted Transfer) without the prior written consent of the Investor Majority during the period of three years from Completion.</w:t>
      </w:r>
    </w:p>
    <w:p>
      <w:pPr>
        <w:tabs>
          <w:tab w:val="left" w:pos="600"/>
        </w:tabs>
        <w:spacing w:after="120" w:before="240"/>
      </w:pPr>
      <w:r>
        <w:rPr>
          <w:b/>
          <w:bCs/>
        </w:rPr>
        <w:t xml:space="preserve">8.</w:t>
      </w:r>
      <w:r>
        <w:rPr>
          <w:b/>
          <w:bCs/>
        </w:rPr>
        <w:t xml:space="preserve">	FOUNDER UNDERTAKINGS</w:t>
      </w:r>
    </w:p>
    <w:p>
      <w:pPr>
        <w:tabs>
          <w:tab w:val="left" w:pos="600"/>
        </w:tabs>
        <w:spacing w:after="120" w:line="276"/>
        <w:ind w:left="600" w:hanging="600"/>
      </w:pPr>
      <w:r>
        <w:t xml:space="preserve">8.1	</w:t>
      </w:r>
      <w:r>
        <w:t xml:space="preserve">Each Founder shall devote substantially the whole of his or her business time and attention to the business of the Group, shall not be engaged in any competing business, and shall comply with the restrictive covenants set out in clause 10 of the Subscription Agreement.</w:t>
      </w:r>
    </w:p>
    <w:p>
      <w:pPr>
        <w:tabs>
          <w:tab w:val="left" w:pos="600"/>
        </w:tabs>
        <w:spacing w:after="120" w:before="240"/>
      </w:pPr>
      <w:r>
        <w:rPr>
          <w:b/>
          <w:bCs/>
        </w:rPr>
        <w:t xml:space="preserve">9.</w:t>
      </w:r>
      <w:r>
        <w:rPr>
          <w:b/>
          <w:bCs/>
        </w:rPr>
        <w:t xml:space="preserve">	TERM AND GENERAL</w:t>
      </w:r>
    </w:p>
    <w:p>
      <w:pPr>
        <w:tabs>
          <w:tab w:val="left" w:pos="600"/>
        </w:tabs>
        <w:spacing w:after="120" w:line="276"/>
        <w:ind w:left="600" w:hanging="600"/>
      </w:pPr>
      <w:r>
        <w:t xml:space="preserve">9.1	</w:t>
      </w:r>
      <w:r>
        <w:t xml:space="preserve">This Agreement continues in force until the earlier of a Listing, a Sale, or the date on which the Investors cease to hold any Series B Shares. Clauses 4 to 7 cease to apply on a Listing.</w:t>
      </w:r>
    </w:p>
    <w:p>
      <w:pPr>
        <w:tabs>
          <w:tab w:val="left" w:pos="600"/>
        </w:tabs>
        <w:spacing w:after="120" w:line="276"/>
        <w:ind w:left="600" w:hanging="600"/>
      </w:pPr>
      <w:r>
        <w:t xml:space="preserve">9.2	</w:t>
      </w:r>
      <w:r>
        <w:t xml:space="preserve">Clauses relating to entire agreement, variation, notices, third party rights, counterparts and governing law are incorporated by reference from clauses 13 to 20 of the Subscription Agreement and apply to this Agreement as if set out in full.</w:t>
      </w:r>
    </w:p>
    <w:p>
      <w:pPr>
        <w:tabs>
          <w:tab w:val="left" w:pos="600"/>
        </w:tabs>
        <w:spacing w:after="120" w:line="276"/>
        <w:ind w:left="600" w:hanging="600"/>
      </w:pPr>
      <w:r>
        <w:t xml:space="preserve">9.3	</w:t>
      </w:r>
      <w:r>
        <w:t xml:space="preserve">This Agreement and any dispute arising out of it are governed by the law of England and Wales and the Parties submit to the exclusive jurisdiction of the courts of England and Wales.</w:t>
      </w:r>
    </w:p>
    <w:p>
      <w:r>
        <w:br w:type="page"/>
      </w:r>
    </w:p>
    <w:p>
      <w:pPr>
        <w:spacing w:after="160"/>
        <w:jc w:val="center"/>
      </w:pPr>
      <w:r>
        <w:rPr>
          <w:b/>
          <w:bCs/>
          <w:sz w:val="22"/>
          <w:szCs w:val="22"/>
        </w:rPr>
        <w:t xml:space="preserve">SCHEDULE 3 — RESERVED MATTERS</w:t>
      </w:r>
    </w:p>
    <w:p>
      <w:pPr>
        <w:pStyle w:val="ListParagraph"/>
        <w:numPr>
          <w:ilvl w:val="0"/>
          <w:numId w:val="2"/>
        </w:numPr>
        <w:spacing w:after="80" w:line="276"/>
      </w:pPr>
      <w:r>
        <w:t xml:space="preserve">altering the Company’s share capital or the rights attaching to any class of share, or creating any new class of share;</w:t>
      </w:r>
    </w:p>
    <w:p>
      <w:pPr>
        <w:pStyle w:val="ListParagraph"/>
        <w:numPr>
          <w:ilvl w:val="0"/>
          <w:numId w:val="2"/>
        </w:numPr>
        <w:spacing w:after="80" w:line="276"/>
      </w:pPr>
      <w:r>
        <w:t xml:space="preserve">issuing any shares, options, warrants or other securities, save for Permitted Issues;</w:t>
      </w:r>
    </w:p>
    <w:p>
      <w:pPr>
        <w:pStyle w:val="ListParagraph"/>
        <w:numPr>
          <w:ilvl w:val="0"/>
          <w:numId w:val="2"/>
        </w:numPr>
        <w:spacing w:after="80" w:line="276"/>
      </w:pPr>
      <w:r>
        <w:t xml:space="preserve">declaring or paying any dividend or other distribution;</w:t>
      </w:r>
    </w:p>
    <w:p>
      <w:pPr>
        <w:pStyle w:val="ListParagraph"/>
        <w:numPr>
          <w:ilvl w:val="0"/>
          <w:numId w:val="2"/>
        </w:numPr>
        <w:spacing w:after="80" w:line="276"/>
      </w:pPr>
      <w:r>
        <w:t xml:space="preserve">approving or materially amending the annual budget, or departing from it by more than 10% on any line item;</w:t>
      </w:r>
    </w:p>
    <w:p>
      <w:pPr>
        <w:pStyle w:val="ListParagraph"/>
        <w:numPr>
          <w:ilvl w:val="0"/>
          <w:numId w:val="2"/>
        </w:numPr>
        <w:spacing w:after="80" w:line="276"/>
      </w:pPr>
      <w:r>
        <w:t xml:space="preserve">incurring borrowings or financial indebtedness exceeding £1,000,000 in aggregate;</w:t>
      </w:r>
    </w:p>
    <w:p>
      <w:pPr>
        <w:pStyle w:val="ListParagraph"/>
        <w:numPr>
          <w:ilvl w:val="0"/>
          <w:numId w:val="2"/>
        </w:numPr>
        <w:spacing w:after="80" w:line="276"/>
      </w:pPr>
      <w:r>
        <w:t xml:space="preserve">making any capital expenditure exceeding £500,000 not in the approved budget;</w:t>
      </w:r>
    </w:p>
    <w:p>
      <w:pPr>
        <w:pStyle w:val="ListParagraph"/>
        <w:numPr>
          <w:ilvl w:val="0"/>
          <w:numId w:val="2"/>
        </w:numPr>
        <w:spacing w:after="80" w:line="276"/>
      </w:pPr>
      <w:r>
        <w:t xml:space="preserve">acquiring or disposing of any business, undertaking or asset with a value exceeding £500,000;</w:t>
      </w:r>
    </w:p>
    <w:p>
      <w:pPr>
        <w:pStyle w:val="ListParagraph"/>
        <w:numPr>
          <w:ilvl w:val="0"/>
          <w:numId w:val="2"/>
        </w:numPr>
        <w:spacing w:after="80" w:line="276"/>
      </w:pPr>
      <w:r>
        <w:t xml:space="preserve">entering into, varying or terminating any contract with a Founder, director or connected person;</w:t>
      </w:r>
    </w:p>
    <w:p>
      <w:pPr>
        <w:pStyle w:val="ListParagraph"/>
        <w:numPr>
          <w:ilvl w:val="0"/>
          <w:numId w:val="2"/>
        </w:numPr>
        <w:spacing w:after="80" w:line="276"/>
      </w:pPr>
      <w:r>
        <w:t xml:space="preserve">changing the nature of the Business or commencing any new line of business;</w:t>
      </w:r>
    </w:p>
    <w:p>
      <w:pPr>
        <w:pStyle w:val="ListParagraph"/>
        <w:numPr>
          <w:ilvl w:val="0"/>
          <w:numId w:val="2"/>
        </w:numPr>
        <w:spacing w:after="80" w:line="276"/>
      </w:pPr>
      <w:r>
        <w:t xml:space="preserve">appointing or removing the auditors or changing the accounting reference date or accounting policies;</w:t>
      </w:r>
    </w:p>
    <w:p>
      <w:pPr>
        <w:pStyle w:val="ListParagraph"/>
        <w:numPr>
          <w:ilvl w:val="0"/>
          <w:numId w:val="2"/>
        </w:numPr>
        <w:spacing w:after="80" w:line="276"/>
      </w:pPr>
      <w:r>
        <w:t xml:space="preserve">commencing, settling or compromising any litigation or arbitration with a value exceeding £250,000;</w:t>
      </w:r>
    </w:p>
    <w:p>
      <w:pPr>
        <w:pStyle w:val="ListParagraph"/>
        <w:numPr>
          <w:ilvl w:val="0"/>
          <w:numId w:val="2"/>
        </w:numPr>
        <w:spacing w:after="80" w:line="276"/>
      </w:pPr>
      <w:r>
        <w:t xml:space="preserve">appointing or dismissing any director or any employee whose total remuneration exceeds £150,000 per annum;</w:t>
      </w:r>
    </w:p>
    <w:p>
      <w:pPr>
        <w:pStyle w:val="ListParagraph"/>
        <w:numPr>
          <w:ilvl w:val="0"/>
          <w:numId w:val="2"/>
        </w:numPr>
        <w:spacing w:after="80" w:line="276"/>
      </w:pPr>
      <w:r>
        <w:t xml:space="preserve">adopting or amending any employee share option scheme or increasing the option pool; and</w:t>
      </w:r>
    </w:p>
    <w:p>
      <w:pPr>
        <w:pStyle w:val="ListParagraph"/>
        <w:numPr>
          <w:ilvl w:val="0"/>
          <w:numId w:val="2"/>
        </w:numPr>
        <w:spacing w:after="80" w:line="276"/>
      </w:pPr>
      <w:r>
        <w:t xml:space="preserve">approving any Sale, Listing, merger, reconstruction or winding-up of the Company.</w:t>
      </w:r>
    </w:p>
    <w:p>
      <w:pPr>
        <w:spacing w:before="300"/>
      </w:pPr>
      <w:r>
        <w:rPr>
          <w:i/>
          <w:iCs/>
        </w:rPr>
        <w:t xml:space="preserve">EXECUTED by the parties on the date set out above.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Project Drake — Investor Rights Agreement (v1)</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Roman"/>
      <w:lvlText w:val="(%1)"/>
      <w:lvlJc w:val="left"/>
      <w:pPr>
        <w:ind w:left="1440" w:hanging="42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6"/>
      <w:szCs w:val="26"/>
    </w:rPr>
  </w:style>
  <w:style w:type="paragraph" w:styleId="Heading2">
    <w:name w:val="Heading 2"/>
    <w:basedOn w:val="Normal"/>
    <w:next w:val="Normal"/>
    <w:qFormat/>
    <w:pPr>
      <w:spacing w:after="12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2026-06-20T20:08:42.915Z</dcterms:created>
  <dcterms:modified xsi:type="dcterms:W3CDTF">2026-06-20T20:08:42.915Z</dcterms:modified>
</cp:coreProperties>
</file>

<file path=docProps/custom.xml><?xml version="1.0" encoding="utf-8"?>
<Properties xmlns="http://schemas.openxmlformats.org/officeDocument/2006/custom-properties" xmlns:vt="http://schemas.openxmlformats.org/officeDocument/2006/docPropsVTypes"/>
</file>