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28"/>
          <w:szCs w:val="28"/>
        </w:rPr>
        <w:t xml:space="preserve">Whitfield Carter LLP</w:t>
      </w:r>
    </w:p>
    <w:p>
      <w:pPr>
        <w:spacing w:after="0"/>
      </w:pPr>
      <w:r>
        <w:rPr>
          <w:color w:val="555555"/>
          <w:sz w:val="18"/>
          <w:szCs w:val="18"/>
        </w:rPr>
        <w:t xml:space="preserve">Solicitors</w:t>
      </w:r>
    </w:p>
    <w:p>
      <w:pPr>
        <w:pBdr>
          <w:bottom w:val="single" w:color="2E4B7B" w:sz="6" w:space="2"/>
        </w:pBdr>
        <w:spacing w:after="240"/>
      </w:pPr>
      <w:r>
        <w:rPr>
          <w:color w:val="555555"/>
          <w:sz w:val="16"/>
          <w:szCs w:val="16"/>
        </w:rPr>
        <w:t xml:space="preserve">22 Bishopsgate, London EC2N 4BQ  •  DX 122 London  •  +44 (0)20 7946 0000  •  www.whitfieldcarter.com</w:t>
      </w:r>
    </w:p>
    <w:p>
      <w:pPr>
        <w:spacing w:after="40"/>
        <w:jc w:val="center"/>
      </w:pPr>
      <w:r>
        <w:rPr>
          <w:b/>
          <w:bCs/>
          <w:sz w:val="30"/>
          <w:szCs w:val="30"/>
        </w:rPr>
        <w:t xml:space="preserve">PROJECT DRAKE</w:t>
      </w:r>
    </w:p>
    <w:p>
      <w:pPr>
        <w:spacing w:after="40"/>
        <w:jc w:val="center"/>
      </w:pPr>
      <w:r>
        <w:rPr>
          <w:b/>
          <w:bCs/>
          <w:sz w:val="24"/>
          <w:szCs w:val="24"/>
        </w:rPr>
        <w:t xml:space="preserve">SERIES B PREFERRED SHARE FINANCING</w:t>
      </w:r>
    </w:p>
    <w:p>
      <w:pPr>
        <w:spacing w:after="200"/>
        <w:jc w:val="center"/>
      </w:pPr>
      <w:r>
        <w:rPr>
          <w:i/>
          <w:iCs/>
          <w:sz w:val="20"/>
          <w:szCs w:val="20"/>
        </w:rPr>
        <w:t xml:space="preserve">Summary of Proposed Terms (Non-Binding) — Aldermore Robotics Limited</w:t>
      </w:r>
    </w:p>
    <w:p>
      <w:pPr>
        <w:spacing w:after="120" w:line="276"/>
      </w:pPr>
      <w:r>
        <w:rPr>
          <w:b/>
          <w:bCs/>
        </w:rPr>
        <w:t xml:space="preserve">Date: </w:t>
      </w:r>
      <w:r>
        <w:t xml:space="preserve">24 July 2025</w:t>
      </w:r>
    </w:p>
    <w:p>
      <w:pPr>
        <w:spacing w:after="120" w:line="276"/>
      </w:pPr>
      <w:r>
        <w:t xml:space="preserve">This term sheet summarises the principal terms on which Westgate Growth Partners LLP (acting as manager of Westgate Growth Fund III LP) (the “Lead Investor”) proposes to invest in Aldermore Robotics Limited (the “Company”). Save for the paragraphs headed Exclusivity, Costs, Confidentiality and Governing Law (which are binding), this term sheet is not legally binding and is subject to contract, satisfactory completion of due diligence and final board and investment committee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999999" w:sz="1"/>
              <w:left w:val="single" w:color="999999" w:sz="1"/>
              <w:bottom w:val="single" w:color="999999" w:sz="1"/>
              <w:right w:val="single" w:color="999999" w:sz="1"/>
            </w:tcBorders>
            <w:shd w:fill="2E4B7B" w:val="clear"/>
            <w:tcMar>
              <w:top w:type="dxa" w:w="60"/>
              <w:left w:type="dxa" w:w="110"/>
              <w:bottom w:type="dxa" w:w="60"/>
              <w:right w:type="dxa" w:w="110"/>
            </w:tcMar>
          </w:tcPr>
          <w:p>
            <w:r>
              <w:rPr>
                <w:b/>
                <w:bCs/>
                <w:color w:val="FFFFFF"/>
                <w:sz w:val="20"/>
                <w:szCs w:val="20"/>
              </w:rPr>
              <w:t xml:space="preserve">Term</w:t>
            </w:r>
          </w:p>
        </w:tc>
        <w:tc>
          <w:tcPr>
            <w:tcW w:type="dxa" w:w="6760"/>
            <w:tcBorders>
              <w:top w:val="single" w:color="999999" w:sz="1"/>
              <w:left w:val="single" w:color="999999" w:sz="1"/>
              <w:bottom w:val="single" w:color="999999" w:sz="1"/>
              <w:right w:val="single" w:color="999999" w:sz="1"/>
            </w:tcBorders>
            <w:shd w:fill="2E4B7B" w:val="clear"/>
            <w:tcMar>
              <w:top w:type="dxa" w:w="60"/>
              <w:left w:type="dxa" w:w="110"/>
              <w:bottom w:type="dxa" w:w="60"/>
              <w:right w:type="dxa" w:w="110"/>
            </w:tcMar>
          </w:tcPr>
          <w:p>
            <w:r>
              <w:rPr>
                <w:b/>
                <w:bCs/>
                <w:color w:val="FFFFFF"/>
                <w:sz w:val="20"/>
                <w:szCs w:val="20"/>
              </w:rPr>
              <w:t xml:space="preserve">Detail</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Company</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Aldermore Robotics Limited (registered number 11982734) (the “Company”), developer of autonomous mobile robots and fleet-orchestration software for warehouse and intralogistics operations.</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Lead Investor</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Westgate Growth Fund III LP, acting by its manager Westgate Growth Partners LLP (the “Lead Investor”).</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Round</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Series B Preferred.</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Pre-Money Valuation</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£52,000,000 (fully diluted, including the enlarged Option Pool described below).</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New Investment</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£18,000,000 in aggregate (the “Investment”), of which the Lead Investor shall subscribe £15,000,000 and existing investors and other new investors shall subscribe up to £3,000,000.</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Post-Money Valuation</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£70,000,000.</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Price per Share</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£8.00 per Series B Share (the “Issue Price”).</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Series B Shares</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2,250,000 Series B Preferred Shares of £0.0001 each, representing approximately 25.7% of the Company’s fully diluted share capital on completion.</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Option Pool</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The Company’s option pool shall be increased to 12% of the fully diluted post-money share capital, with the increase taken from the pre-money capitalisation.</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Liquidation Preference</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1x non-participating preference, with the Series B ranking ahead of the Series A and Ordinary Shares; the holders may elect to convert to Ordinary and share pro rata.</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Anti-Dilution</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Broad-based weighted average.</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Dividends</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Non-cumulative; payable only as and when declared by the Board.</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Board</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The Board shall comprise five directors: two founder directors, the Investor Director appointed by the Lead Investor, the existing Series A investor director, and one independent non-executive director appointed by mutual agreement.</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Investor Consent Matters</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Customary list of reserved matters requiring Investor Majority consent (see Investor Rights Agreement), including budget approval, incurring indebtedness above £1,000,000, share issuances, related-party transactions, and a sale or listing of the Company.</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Information Rights</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Monthly management accounts, annual audited accounts, annual budget, and access rights, for so long as the Lead Investor holds at least 5% of the Company.</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Pre-emption / Transfer</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Pro-rata pre-emption on new issues and on transfers; customary drag-along and tag-along provisions.</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Founder Vesting</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Founder shares subject to reverse vesting over four years with a 12-month cliff, with leaver provisions; good/bad leaver mechanics to be agreed.</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Warranties</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Customary business and tax warranties from the Company and limited warranties from the Founders, subject to disclosure and agreed limitations on liability.</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Conditions</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Satisfactory legal, financial, tax and technical due diligence; adoption of new Articles and the Investor Rights Agreement; board and shareholder approvals; and no material adverse change.</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Exclusivity</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The Company agrees not to solicit or negotiate any alternative financing with any third party for a period of 45 days from the date of this term sheet (binding).</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Costs</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The Company shall pay the Lead Investor’s reasonable legal and due diligence costs up to a cap of £75,000 plus VAT, payable on completion or, if the transaction does not complete other than due to the Lead Investor’s default, on demand (binding).</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Confidentiality</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The terms of this term sheet are confidential and subject to the mutual NDA dated 11 July 2025 (binding).</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Target Completion</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On or about 31 October 2025.</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19"/>
                <w:szCs w:val="19"/>
              </w:rPr>
              <w:t xml:space="preserve">Governing Law</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19"/>
                <w:szCs w:val="19"/>
              </w:rPr>
              <w:t xml:space="preserve">England and Wales (binding).</w:t>
            </w:r>
          </w:p>
        </w:tc>
      </w:tr>
    </w:tbl>
    <w:p>
      <w:pPr>
        <w:spacing w:before="300"/>
      </w:pPr>
      <w:r>
        <w:rPr>
          <w:i/>
          <w:iCs/>
        </w:rPr>
        <w:t xml:space="preserve">Signed for and on behalf of the parties:</w:t>
      </w:r>
    </w:p>
    <w:p>
      <w:pPr>
        <w:spacing w:after="40" w:before="200"/>
      </w:pPr>
      <w:r>
        <w:rPr>
          <w:b/>
          <w:bCs/>
        </w:rPr>
        <w:t xml:space="preserve">WESTGATE GROWTH PARTNERS LLP (as manager of Westgate Growth Fund III LP)</w:t>
      </w:r>
    </w:p>
    <w:p>
      <w:pPr>
        <w:spacing w:after="120" w:line="276"/>
      </w:pPr>
      <w:r>
        <w:t xml:space="preserve">Signature:  ......................................................</w:t>
      </w:r>
    </w:p>
    <w:p>
      <w:pPr>
        <w:spacing w:after="120" w:line="276"/>
      </w:pPr>
      <w:r>
        <w:t xml:space="preserve">Name:  Daniel Westbrook</w:t>
      </w:r>
    </w:p>
    <w:p>
      <w:pPr>
        <w:spacing w:after="200" w:line="276"/>
      </w:pPr>
      <w:r>
        <w:t xml:space="preserve">Title:  Partner</w:t>
      </w:r>
    </w:p>
    <w:p>
      <w:pPr>
        <w:spacing w:after="40" w:before="200"/>
      </w:pPr>
      <w:r>
        <w:rPr>
          <w:b/>
          <w:bCs/>
        </w:rPr>
        <w:t xml:space="preserve">ALDERMORE ROBOTICS LIMITED</w:t>
      </w:r>
    </w:p>
    <w:p>
      <w:pPr>
        <w:spacing w:after="120" w:line="276"/>
      </w:pPr>
      <w:r>
        <w:t xml:space="preserve">Signature:  ......................................................</w:t>
      </w:r>
    </w:p>
    <w:p>
      <w:pPr>
        <w:spacing w:after="120" w:line="276"/>
      </w:pPr>
      <w:r>
        <w:t xml:space="preserve">Name:  James Hartlow</w:t>
      </w:r>
    </w:p>
    <w:p>
      <w:pPr>
        <w:spacing w:after="200" w:line="276"/>
      </w:pPr>
      <w:r>
        <w:t xml:space="preserve">Title:  Director / CEO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Whitfield Carter LLP — Project Drake — Series B Term Sheet</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Roman"/>
      <w:lvlText w:val="(%1)"/>
      <w:lvlJc w:val="left"/>
      <w:pPr>
        <w:ind w:left="1440" w:hanging="4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6"/>
      <w:szCs w:val="26"/>
    </w:rPr>
  </w:style>
  <w:style w:type="paragraph" w:styleId="Heading2">
    <w:name w:val="Heading 2"/>
    <w:basedOn w:val="Normal"/>
    <w:next w:val="Normal"/>
    <w:qFormat/>
    <w:pPr>
      <w:spacing w:after="12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2026-06-20T20:04:25.263Z</dcterms:created>
  <dcterms:modified xsi:type="dcterms:W3CDTF">2026-06-20T20:04:25.263Z</dcterms:modified>
</cp:coreProperties>
</file>

<file path=docProps/custom.xml><?xml version="1.0" encoding="utf-8"?>
<Properties xmlns="http://schemas.openxmlformats.org/officeDocument/2006/custom-properties" xmlns:vt="http://schemas.openxmlformats.org/officeDocument/2006/docPropsVTypes"/>
</file>