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4"/>
          <w:szCs w:val="24"/>
        </w:rPr>
        <w:t xml:space="preserve">CPSE.1 (version 3.8) — Replies to General Pre-contract Enquiries for all Commercial Property Transactions</w:t>
      </w:r>
    </w:p>
    <w:p>
      <w:pPr>
        <w:spacing w:after="40"/>
      </w:pPr>
      <w:r>
        <w:rPr>
          <w:sz w:val="20"/>
          <w:szCs w:val="20"/>
        </w:rPr>
        <w:t xml:space="preserve">Property: Kingsmoor House, 40-46 Wellington Street, Leeds LS1 2DE</w:t>
      </w:r>
    </w:p>
    <w:p>
      <w:pPr>
        <w:spacing w:after="40"/>
      </w:pPr>
      <w:r>
        <w:rPr>
          <w:color w:val="555555"/>
          <w:sz w:val="18"/>
          <w:szCs w:val="18"/>
        </w:rPr>
        <w:t xml:space="preserve">Seller: Harkness Pension Trustees Limited   |   Seller's solicitors: Marlowe Greaves LLP (ref MG/ZA/HARK-KH)</w:t>
      </w:r>
    </w:p>
    <w:p>
      <w:pPr>
        <w:spacing w:after="40"/>
      </w:pPr>
      <w:r>
        <w:rPr>
          <w:color w:val="555555"/>
          <w:sz w:val="18"/>
          <w:szCs w:val="18"/>
        </w:rPr>
        <w:t xml:space="preserve">Buyer: AWC Kingsmoor Propco Limited   |   Buyer's solicitors: Whitfield Carter LLP (ref JO/EM/WC-00207)</w:t>
      </w:r>
    </w:p>
    <w:p>
      <w:pPr>
        <w:spacing w:after="160"/>
      </w:pPr>
      <w:r>
        <w:rPr>
          <w:color w:val="555555"/>
          <w:sz w:val="18"/>
          <w:szCs w:val="18"/>
        </w:rPr>
        <w:t xml:space="preserve">Date of replies: 4 March 2026</w:t>
      </w:r>
    </w:p>
    <w:p>
      <w:pPr>
        <w:spacing w:after="160"/>
      </w:pPr>
      <w:r>
        <w:rPr>
          <w:i/>
          <w:iCs/>
          <w:sz w:val="18"/>
          <w:szCs w:val="18"/>
        </w:rPr>
        <w:t xml:space="preserve">Note: These replies are given by the Seller's solicitors on the Seller's instructions and are given subject to the terms of clause 11 of the Contract for Sale. Except where otherwise stated, replies apply to the whole of the Property.</w:t>
      </w:r>
    </w:p>
    <w:p>
      <w:pPr>
        <w:spacing w:after="40"/>
      </w:pPr>
      <w:r>
        <w:rPr>
          <w:b/>
          <w:bCs/>
        </w:rPr>
        <w:t xml:space="preserve">1. Boundaries and extent</w:t>
      </w:r>
    </w:p>
    <w:p>
      <w:pPr>
        <w:spacing w:after="120"/>
      </w:pPr>
      <w:r>
        <w:t xml:space="preserve">The Seller believes the boundaries to be as shown edged red on the plan attached to the office copies of title WYK482116. The Seller is not aware of any boundary being in dispute and has not maintained any boundary feature on behalf of any neighbour. No boundary agreements have been entered into.</w:t>
      </w:r>
    </w:p>
    <w:p>
      <w:pPr>
        <w:spacing w:after="40"/>
      </w:pPr>
      <w:r>
        <w:rPr>
          <w:b/>
          <w:bCs/>
        </w:rPr>
        <w:t xml:space="preserve">2. Party walls</w:t>
      </w:r>
    </w:p>
    <w:p>
      <w:pPr>
        <w:spacing w:after="120"/>
      </w:pPr>
      <w:r>
        <w:t xml:space="preserve">The Seller is not aware of any party walls to which the Party Wall etc. Act 1996 applies, save that the western elevation abuts the adjoining property at 38 Wellington Street; no party wall awards are held.</w:t>
      </w:r>
    </w:p>
    <w:p>
      <w:pPr>
        <w:spacing w:after="40"/>
      </w:pPr>
      <w:r>
        <w:rPr>
          <w:b/>
          <w:bCs/>
        </w:rPr>
        <w:t xml:space="preserve">3. Rights benefiting the Property</w:t>
      </w:r>
    </w:p>
    <w:p>
      <w:pPr>
        <w:spacing w:after="120"/>
      </w:pPr>
      <w:r>
        <w:t xml:space="preserve">The Property benefits from the rights set out in the Property Register of title WYK482116, including rights of access over the service road to the rear. The Seller is not aware of any other easements, quasi-easements or prescriptive rights.</w:t>
      </w:r>
    </w:p>
    <w:p>
      <w:pPr>
        <w:spacing w:after="40"/>
      </w:pPr>
      <w:r>
        <w:rPr>
          <w:b/>
          <w:bCs/>
        </w:rPr>
        <w:t xml:space="preserve">4. Adverse rights affecting the Property</w:t>
      </w:r>
    </w:p>
    <w:p>
      <w:pPr>
        <w:spacing w:after="120"/>
      </w:pPr>
      <w:r>
        <w:t xml:space="preserve">The Property is subject to the matters contained in the Charges Register of title WYK482116, including a deed of easement dated 12 May 1998 in favour of the statutory undertaker in respect of a sub-station on the ground floor. No overriding interests are known other than the Occupational Leases.</w:t>
      </w:r>
    </w:p>
    <w:p>
      <w:pPr>
        <w:spacing w:after="40"/>
      </w:pPr>
      <w:r>
        <w:rPr>
          <w:b/>
          <w:bCs/>
        </w:rPr>
        <w:t xml:space="preserve">5. Title policies</w:t>
      </w:r>
    </w:p>
    <w:p>
      <w:pPr>
        <w:spacing w:after="120"/>
      </w:pPr>
      <w:r>
        <w:t xml:space="preserve">No defective title, restrictive covenant or other title indemnity policies are held.</w:t>
      </w:r>
    </w:p>
    <w:p>
      <w:pPr>
        <w:spacing w:after="40"/>
      </w:pPr>
      <w:r>
        <w:rPr>
          <w:b/>
          <w:bCs/>
        </w:rPr>
        <w:t xml:space="preserve">6. Access to neighbouring land</w:t>
      </w:r>
    </w:p>
    <w:p>
      <w:pPr>
        <w:spacing w:after="120"/>
      </w:pPr>
      <w:r>
        <w:t xml:space="preserve">The Seller is not aware of any need to enter neighbouring land to repair or maintain the Property, save for access to the rear service road referred to at reply 3.</w:t>
      </w:r>
    </w:p>
    <w:p>
      <w:pPr>
        <w:spacing w:after="40"/>
      </w:pPr>
      <w:r>
        <w:rPr>
          <w:b/>
          <w:bCs/>
        </w:rPr>
        <w:t xml:space="preserve">7. Physical condition</w:t>
      </w:r>
    </w:p>
    <w:p>
      <w:pPr>
        <w:spacing w:after="120"/>
      </w:pPr>
      <w:r>
        <w:t xml:space="preserve">The Property was constructed in or about 1998 and comprehensively refurbished in 2016 (Cat A). The Seller is not aware of any structural defect. The Buyer should rely on its own building survey. The Seller has disclosed the building survey report prepared by Calderbank Vine dated 26 February 2026 in the data room.</w:t>
      </w:r>
    </w:p>
    <w:p>
      <w:pPr>
        <w:spacing w:after="40"/>
      </w:pPr>
      <w:r>
        <w:rPr>
          <w:b/>
          <w:bCs/>
        </w:rPr>
        <w:t xml:space="preserve">8. Contents</w:t>
      </w:r>
    </w:p>
    <w:p>
      <w:pPr>
        <w:spacing w:after="120"/>
      </w:pPr>
      <w:r>
        <w:t xml:space="preserve">All landlord's fixtures and fittings are included in the sale. Tenants' fixtures and fittings are excluded. No hire or conditional-sale agreements affect any items included in the sale.</w:t>
      </w:r>
    </w:p>
    <w:p>
      <w:pPr>
        <w:spacing w:after="40"/>
      </w:pPr>
      <w:r>
        <w:rPr>
          <w:b/>
          <w:bCs/>
        </w:rPr>
        <w:t xml:space="preserve">9. Utilities and services</w:t>
      </w:r>
    </w:p>
    <w:p>
      <w:pPr>
        <w:spacing w:after="120"/>
      </w:pPr>
      <w:r>
        <w:t xml:space="preserve">The Property is connected to mains water, drainage, electricity and gas. The Seller is not aware of any services passing through the Property for the benefit of other land, save the sub-station referred to at reply 4.</w:t>
      </w:r>
    </w:p>
    <w:p>
      <w:pPr>
        <w:spacing w:after="40"/>
      </w:pPr>
      <w:r>
        <w:rPr>
          <w:b/>
          <w:bCs/>
        </w:rPr>
        <w:t xml:space="preserve">10. Fire safety and means of escape</w:t>
      </w:r>
    </w:p>
    <w:p>
      <w:pPr>
        <w:spacing w:after="120"/>
      </w:pPr>
      <w:r>
        <w:t xml:space="preserve">The Property has a current fire risk assessment dated 18 November 2025 (disclosed). The Seller is not aware of any outstanding enforcement notice or unsatisfied requirement of the fire authority.</w:t>
      </w:r>
    </w:p>
    <w:p>
      <w:pPr>
        <w:spacing w:after="40"/>
      </w:pPr>
      <w:r>
        <w:rPr>
          <w:b/>
          <w:bCs/>
        </w:rPr>
        <w:t xml:space="preserve">11. Occupiers and employees</w:t>
      </w:r>
    </w:p>
    <w:p>
      <w:pPr>
        <w:spacing w:after="120"/>
      </w:pPr>
      <w:r>
        <w:t xml:space="preserve">The Property is occupied by the Tenants under the Occupational Leases set out in the tenancy schedule. There are no other occupiers. TUPE is not considered to apply; the Seller employs no staff at the Property, building management being outsourced to Brookfield FM Ltd under a contract terminable on completion.</w:t>
      </w:r>
    </w:p>
    <w:p>
      <w:pPr>
        <w:spacing w:after="40"/>
      </w:pPr>
      <w:r>
        <w:rPr>
          <w:b/>
          <w:bCs/>
        </w:rPr>
        <w:t xml:space="preserve">12. Insurance</w:t>
      </w:r>
    </w:p>
    <w:p>
      <w:pPr>
        <w:spacing w:after="120"/>
      </w:pPr>
      <w:r>
        <w:t xml:space="preserve">The Property is insured under a block policy with Aviva (policy no. CP-4471902) at a reinstatement value of £21,400,000 (2025 assessment). The Seller is not aware of any circumstance that would cause the insurer to refuse cover or increase the premium, and no claim has been made in the last three years exceeding £5,000.</w:t>
      </w:r>
    </w:p>
    <w:p>
      <w:pPr>
        <w:spacing w:after="40"/>
      </w:pPr>
      <w:r>
        <w:rPr>
          <w:b/>
          <w:bCs/>
        </w:rPr>
        <w:t xml:space="preserve">13. Rates, taxes and outgoings</w:t>
      </w:r>
    </w:p>
    <w:p>
      <w:pPr>
        <w:spacing w:after="120"/>
      </w:pPr>
      <w:r>
        <w:t xml:space="preserve">The Property is assessed for non-domestic rates; each let unit is separately assessed and the rates are payable by the Tenants. There are no arrears of outgoings payable by the Seller.</w:t>
      </w:r>
    </w:p>
    <w:p>
      <w:pPr>
        <w:spacing w:after="40"/>
      </w:pPr>
      <w:r>
        <w:rPr>
          <w:b/>
          <w:bCs/>
        </w:rPr>
        <w:t xml:space="preserve">14. VAT</w:t>
      </w:r>
    </w:p>
    <w:p>
      <w:pPr>
        <w:spacing w:after="120"/>
      </w:pPr>
      <w:r>
        <w:t xml:space="preserve">The Seller has opted to tax the Property (option effective 1 April 2011, notified to HMRC). The sale is intended to proceed as a TOGC; see clause 5 of the Contract.</w:t>
      </w:r>
    </w:p>
    <w:p>
      <w:pPr>
        <w:spacing w:after="40"/>
      </w:pPr>
      <w:r>
        <w:rPr>
          <w:b/>
          <w:bCs/>
        </w:rPr>
        <w:t xml:space="preserve">15. Environmental</w:t>
      </w:r>
    </w:p>
    <w:p>
      <w:pPr>
        <w:spacing w:after="120"/>
      </w:pPr>
      <w:r>
        <w:t xml:space="preserve">A Phase 1 environmental desktop report by Enviro Assess Ltd dated 14 January 2026 has been disclosed. The Seller is not aware of any contamination, and no remediation notice has been served.</w:t>
      </w:r>
    </w:p>
    <w:p>
      <w:pPr>
        <w:spacing w:after="40"/>
      </w:pPr>
      <w:r>
        <w:rPr>
          <w:b/>
          <w:bCs/>
        </w:rPr>
        <w:t xml:space="preserve">16. Occupational leases (general)</w:t>
      </w:r>
    </w:p>
    <w:p>
      <w:pPr>
        <w:spacing w:after="120"/>
      </w:pPr>
      <w:r>
        <w:t xml:space="preserve">Full copies of the Occupational Leases, licences and rent deposit deeds have been disclosed in the data room. The tenancy schedule is annexed to the Contract at Schedule 2. There are no rent-free periods currently running save the stepped rent under the Wellington Coffee Co lease (£25,000 from June 2026).</w:t>
      </w:r>
    </w:p>
    <w:p>
      <w:pPr>
        <w:spacing w:after="40"/>
      </w:pPr>
      <w:r>
        <w:rPr>
          <w:b/>
          <w:bCs/>
        </w:rPr>
        <w:t xml:space="preserve">17. Rent reviews</w:t>
      </w:r>
    </w:p>
    <w:p>
      <w:pPr>
        <w:spacing w:after="120"/>
      </w:pPr>
      <w:r>
        <w:t xml:space="preserve">The rent review of the third-floor letting to Aldermere Consulting LLP fell due on 25 March 2026 and is outstanding. The parties have agreed a retention of £45,000 to be dealt with under clause 9.3 of the Contract. No other reviews are outstanding.</w:t>
      </w:r>
    </w:p>
    <w:p>
      <w:pPr>
        <w:spacing w:after="40"/>
      </w:pPr>
      <w:r>
        <w:rPr>
          <w:b/>
          <w:bCs/>
        </w:rPr>
        <w:t xml:space="preserve">18. Service charge</w:t>
      </w:r>
    </w:p>
    <w:p>
      <w:pPr>
        <w:spacing w:after="120"/>
      </w:pPr>
      <w:r>
        <w:t xml:space="preserve">The Property is managed on a service-charge basis. The service-charge accounts for the year ended 31 December 2025 (disclosed) show expenditure of £214,600 fully recovered. There is no material service-charge dispute, save a query raised by Brookmere Asset Management plc regarding the 2024 lift-refurbishment cost (c. £9,200), which the Seller considers unfounded.</w:t>
      </w:r>
    </w:p>
    <w:p>
      <w:pPr>
        <w:spacing w:after="40"/>
      </w:pPr>
      <w:r>
        <w:rPr>
          <w:b/>
          <w:bCs/>
        </w:rPr>
        <w:t xml:space="preserve">19. Disputes</w:t>
      </w:r>
    </w:p>
    <w:p>
      <w:pPr>
        <w:spacing w:after="120"/>
      </w:pPr>
      <w:r>
        <w:t xml:space="preserve">Save as disclosed at reply 18, the Seller is not aware of any current or threatened dispute with any Tenant, neighbour or authority relating to the Property.</w:t>
      </w:r>
    </w:p>
    <w:p>
      <w:pPr>
        <w:spacing w:after="40"/>
      </w:pPr>
      <w:r>
        <w:rPr>
          <w:b/>
          <w:bCs/>
        </w:rPr>
        <w:t xml:space="preserve">20. Notices</w:t>
      </w:r>
    </w:p>
    <w:p>
      <w:pPr>
        <w:spacing w:after="120"/>
      </w:pPr>
      <w:r>
        <w:t xml:space="preserve">The Seller has not given or received any notice affecting the Property, save routine correspondence in the ordinary course of management.</w:t>
      </w:r>
    </w:p>
    <w:p>
      <w:pPr>
        <w:spacing w:after="40"/>
      </w:pPr>
      <w:r>
        <w:rPr>
          <w:i/>
          <w:iCs/>
        </w:rPr>
        <w:t xml:space="preserve">Signed: Marlowe Greaves LLP, for and on behalf of the Seller.  Date: 4 March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spacing w:before="100"/>
    </w:pPr>
    <w:r>
      <w:rPr>
        <w:color w:val="777777"/>
        <w:sz w:val="14"/>
        <w:szCs w:val="14"/>
      </w:rPr>
      <w:t xml:space="preserve">Whitfield Carter LLP is a limited liability partnership registered in England and Wales (OC418823). Confidential and may be legally privileged.</w:t>
    </w:r>
  </w:p>
  <w:p>
    <w:pPr>
      <w:jc w:val="right"/>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spacing w:after="200"/>
    </w:pPr>
    <w:r>
      <w:rPr>
        <w:b/>
        <w:bCs/>
        <w:sz w:val="24"/>
        <w:szCs w:val="24"/>
      </w:rPr>
      <w:t xml:space="preserve">Whitfield Carter LLP</w:t>
    </w:r>
    <w:r>
      <w:rPr>
        <w:color w:val="555555"/>
        <w:sz w:val="16"/>
        <w:szCs w:val="16"/>
      </w:rPr>
      <w:t xml:space="preserve">	CPSE.1 Replies — Kingsmoor House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1080"/>
      </w:pPr>
    </w:lvl>
    <w:lvl w:ilvl="2" w15:tentative="1">
      <w:start w:val="1"/>
      <w:numFmt w:val="lowerLetter"/>
      <w:lvlText w:val="(%3)"/>
      <w:lvlJc w:val="left"/>
      <w:pPr>
        <w:ind w:left="1440" w:hanging="720"/>
      </w:pPr>
    </w:lvl>
    <w:lvl w:ilvl="3" w15:tentative="1">
      <w:start w:val="1"/>
      <w:numFmt w:val="lowerRoman"/>
      <w:lvlText w:val="(%4)"/>
      <w:lvlJc w:val="left"/>
      <w:pPr>
        <w:ind w:left="1800" w:hanging="720"/>
      </w:pPr>
    </w:lvl>
  </w:abstractNum>
  <w:abstractNum w:abstractNumId="3" w15:restartNumberingAfterBreak="0">
    <w:multiLevelType w:val="hybridMultilevel"/>
    <w:lvl w:ilvl="0" w15:tentative="1">
      <w:start w:val="1"/>
      <w:numFmt w:val="upperLetter"/>
      <w:lvlText w:val="(%1)"/>
      <w:lvlJc w:val="left"/>
      <w:pPr>
        <w:ind w:left="720" w:hanging="72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Georgia" w:cs="Georgia" w:eastAsia="Georgia" w:hAnsi="Georgia"/>
      <w:b/>
      <w:bCs/>
      <w:sz w:val="26"/>
      <w:szCs w:val="26"/>
    </w:rPr>
  </w:style>
  <w:style w:type="paragraph" w:styleId="Heading2">
    <w:name w:val="Heading 2"/>
    <w:basedOn w:val="Normal"/>
    <w:next w:val="Normal"/>
    <w:qFormat/>
    <w:pPr>
      <w:spacing w:after="120" w:before="180"/>
      <w:outlineLvl w:val="1"/>
    </w:pPr>
    <w:rPr>
      <w:rFonts w:ascii="Georgia" w:cs="Georgia" w:eastAsia="Georgia" w:hAnsi="Georgia"/>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2026-07-01T11:14:58.662Z</dcterms:created>
  <dcterms:modified xsi:type="dcterms:W3CDTF">2026-07-01T11:14:58.662Z</dcterms:modified>
</cp:coreProperties>
</file>

<file path=docProps/custom.xml><?xml version="1.0" encoding="utf-8"?>
<Properties xmlns="http://schemas.openxmlformats.org/officeDocument/2006/custom-properties" xmlns:vt="http://schemas.openxmlformats.org/officeDocument/2006/docPropsVTypes"/>
</file>