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40"/>
        <w:jc w:val="center"/>
      </w:pPr>
      <w:r>
        <w:rPr>
          <w:sz w:val="20"/>
          <w:szCs w:val="20"/>
        </w:rPr>
        <w:t xml:space="preserve">Acquisition of Kingsmoor House, 40-46 Wellington Street, Leeds LS1 2DE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AWC Kingsmoor Propco Limited (Buyer) — WC-00207 — Completion: 1 May 2026</w:t>
      </w:r>
    </w:p>
    <w:p>
      <w:pPr>
        <w:pStyle w:val="Heading2"/>
      </w:pPr>
      <w:r>
        <w:t xml:space="preserve">A. Pre-exchange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500"/>
        <w:gridCol w:w="1500"/>
      </w:tblGrid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for sale approved and engrossed (v3 agreed)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Marlowe Greaves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20 Mar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on title issued to client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(JO/EM)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18 Mar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Searches received and clear (local, drainage, chancel, environmental)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(EM)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 SPV incorporated (AWC Kingsmoor Propco Limited)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client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Done, co. 15102884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 VAT registration and option to tax notified (TOGC)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/ advisers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12 Mar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Deposit funds (£1,415,000) confirmed in place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(Finance)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</w:tr>
    </w:tbl>
    <w:p>
      <w:pPr>
        <w:pStyle w:val="Heading2"/>
      </w:pPr>
      <w:r>
        <w:t xml:space="preserve">B. Exchange (27 March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500"/>
        <w:gridCol w:w="1500"/>
      </w:tblGrid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Contracts exchanged by telephone (Law Society Formula B)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Marlowe Greaves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Exchanged 27 Mar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Deposit transferred to Seller's solicitors (stakeholder)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 27 Mar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Buyer's signed contract sent to Seller's solicitors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</w:pPr>
      <w:r>
        <w:t xml:space="preserve">C. Completion (1 May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500"/>
        <w:gridCol w:w="1500"/>
      </w:tblGrid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Completion statement agreed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Marlowe Greaves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Agreed 24 Apr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 of price less deposit and retention (£12,690,000) transferred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Retention of £45,000 held by WC as stakeholder (rent review)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Executed TR1 received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Marlowe Greaves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Assignments of rent deposit deeds (Meridian, Halcyon) received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Marlowe Greaves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Notices to tenants of assignment of reversion prepared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(EM)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Keys, management records and service-charge information handed over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Seller / managing agent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Apportioned rents and service charge accounted for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statement</w:t>
            </w:r>
          </w:p>
        </w:tc>
      </w:tr>
    </w:tbl>
    <w:p>
      <w:pPr>
        <w:pStyle w:val="Heading2"/>
      </w:pPr>
      <w:r>
        <w:t xml:space="preserve">D. Post-completion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500"/>
        <w:gridCol w:w="1500"/>
      </w:tblGrid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SDLT return submitted and SDLT paid (£697,000)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(EM)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 14 days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to register transfer at HM Land Registry (AP1)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 priority period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Notices to tenants served; rent redirection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managing agent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 retention after rent review (3 months)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1 Aug 2026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Completion statement and file to client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(JO)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Post-registration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spacing w:before="100"/>
    </w:pPr>
    <w:r>
      <w:rPr>
        <w:color w:val="777777"/>
        <w:sz w:val="14"/>
        <w:szCs w:val="14"/>
      </w:rPr>
      <w:t xml:space="preserve">Whitfield Carter LLP is a limited liability partnership registered in England and Wales (OC418823). Confidential and may be legally privileged.</w:t>
    </w:r>
  </w:p>
  <w:p>
    <w:pPr>
      <w:jc w:val="right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026"/>
      </w:tabs>
      <w:spacing w:after="200"/>
    </w:pPr>
    <w:r>
      <w:rPr>
        <w:b/>
        <w:bCs/>
        <w:sz w:val="24"/>
        <w:szCs w:val="24"/>
      </w:rPr>
      <w:t xml:space="preserve">Whitfield Carter LLP</w:t>
    </w:r>
    <w:r>
      <w:rPr>
        <w:color w:val="555555"/>
        <w:sz w:val="16"/>
        <w:szCs w:val="16"/>
      </w:rPr>
      <w:t xml:space="preserve">	Completion Checklist — Kingsmoor House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1080" w:hanging="108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180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Georgia" w:cs="Georgia" w:eastAsia="Georgia" w:hAnsi="Georg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2026-07-01T11:14:58.729Z</dcterms:created>
  <dcterms:modified xsi:type="dcterms:W3CDTF">2026-07-01T11:14:58.729Z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