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DEED OF ASSIGNMENT OF RENT DEPOSIT DEEDS</w:t>
      </w:r>
    </w:p>
    <w:p>
      <w:pPr>
        <w:spacing w:after="200"/>
        <w:jc w:val="center"/>
      </w:pPr>
      <w:r>
        <w:rPr>
          <w:sz w:val="20"/>
          <w:szCs w:val="20"/>
        </w:rPr>
        <w:t xml:space="preserve">relating to Kingsmoor House, 40-46 Wellington Street, Leeds LS1 2DE</w:t>
      </w:r>
    </w:p>
    <w:p>
      <w:pPr>
        <w:pStyle w:val="Heading2"/>
      </w:pPr>
      <w:r>
        <w:t xml:space="preserve">Parties</w:t>
      </w:r>
    </w:p>
    <w:p>
      <w:pPr>
        <w:pStyle w:val="ListParagraph"/>
        <w:numPr>
          <w:ilvl w:val="0"/>
          <w:numId w:val="2"/>
        </w:numPr>
        <w:spacing w:after="80" w:before="120"/>
      </w:pPr>
      <w:r/>
    </w:p>
    <w:p>
      <w:pPr>
        <w:pStyle w:val="ListParagraph"/>
        <w:numPr>
          <w:ilvl w:val="0"/>
          <w:numId w:val="2"/>
        </w:numPr>
        <w:spacing w:after="80" w:before="120"/>
      </w:pPr>
      <w:r/>
    </w:p>
    <w:p>
      <w:pPr>
        <w:pStyle w:val="Heading2"/>
      </w:pPr>
      <w:r>
        <w:t xml:space="preserve">Background</w:t>
      </w:r>
    </w:p>
    <w:p>
      <w:pPr>
        <w:spacing w:after="120"/>
      </w:pPr>
      <w:r>
        <w:t xml:space="preserve">The Assignor holds rent deposits under: (1) a rent deposit deed dated 24 June 2022 with Meridian Software (UK) Limited (£138,500); and (2) a rent deposit deed dated 29 September 2020 with Halcyon Retail Group Limited (£50,000) (together the "Rent Deposit Deeds"). By a contract dated 27 March 2026 the Assignor agreed to sell the Property to the Assignee and to assign the benefit of the Rent Deposit Deeds on completion.</w:t>
      </w:r>
    </w:p>
    <w:p>
      <w:pPr>
        <w:pStyle w:val="Heading2"/>
      </w:pPr>
      <w:r>
        <w:t xml:space="preserve">Operative provisions</w:t>
      </w:r>
    </w:p>
    <w:p>
      <w:pPr>
        <w:pStyle w:val="ListParagraph"/>
        <w:numPr>
          <w:ilvl w:val="1"/>
          <w:numId w:val="2"/>
        </w:numPr>
        <w:spacing w:after="80"/>
      </w:pPr>
      <w:r>
        <w:t xml:space="preserve">1.  In consideration of the completion of the sale of the Property, the Assignor with full title guarantee assigns to the Assignee all its right, title and interest in and to the Rent Deposit Deeds and the deposit monies held under them (£188,500 in aggregate), which sum the Assignor has accounted for to the Assignee on completion.</w:t>
      </w:r>
    </w:p>
    <w:p>
      <w:pPr>
        <w:pStyle w:val="ListParagraph"/>
        <w:numPr>
          <w:ilvl w:val="1"/>
          <w:numId w:val="2"/>
        </w:numPr>
        <w:spacing w:after="80"/>
      </w:pPr>
      <w:r>
        <w:t xml:space="preserve">2.  The Assignee accepts the assignment and covenants to observe and perform the Assignor's obligations under the Rent Deposit Deeds arising on or after the date of this Deed and to indemnify the Assignor against any liability arising after that date.</w:t>
      </w:r>
    </w:p>
    <w:p>
      <w:pPr>
        <w:pStyle w:val="ListParagraph"/>
        <w:numPr>
          <w:ilvl w:val="1"/>
          <w:numId w:val="2"/>
        </w:numPr>
        <w:spacing w:after="80"/>
      </w:pPr>
      <w:r>
        <w:t xml:space="preserve">3.  The Assignor shall give notice of this assignment to each relevant Tenant promptly following completion.</w:t>
      </w:r>
    </w:p>
    <w:p>
      <w:pPr>
        <w:pStyle w:val="ListParagraph"/>
        <w:numPr>
          <w:ilvl w:val="1"/>
          <w:numId w:val="2"/>
        </w:numPr>
        <w:spacing w:after="80"/>
      </w:pPr>
      <w:r>
        <w:t xml:space="preserve">4.  This Deed is governed by the law of England and Wales.</w:t>
      </w:r>
    </w:p>
    <w:p>
      <w:pPr>
        <w:spacing w:after="160"/>
      </w:pPr>
      <w:r>
        <w:t xml:space="preserve"/>
      </w:r>
    </w:p>
    <w:p>
      <w:pPr>
        <w:spacing w:after="200"/>
      </w:pPr>
      <w:r>
        <w:rPr>
          <w:i/>
          <w:iCs/>
        </w:rPr>
        <w:t xml:space="preserve">Executed as a deed and delivered on 1 May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Executed as a deed by HARKNESS PENSION TRUSTEES LIMITED</w:t>
            </w:r>
          </w:p>
        </w:tc>
        <w:tc>
          <w:tcPr>
            <w:tcW w:type="dxa" w:w="4513"/>
            <w:tcBorders>
              <w:top w:val="single" w:color="BBBBBB" w:sz="1"/>
              <w:left w:val="single" w:color="BBBBBB" w:sz="1"/>
              <w:bottom w:val="single" w:color="BBBBBB" w:sz="1"/>
              <w:right w:val="single" w:color="BBBBBB" w:sz="1"/>
            </w:tcBorders>
            <w:shd w:fill="1F3864" w:val="clear"/>
            <w:tcMar>
              <w:top w:type="dxa" w:w="60"/>
              <w:left w:type="dxa" w:w="120"/>
              <w:bottom w:type="dxa" w:w="60"/>
              <w:right w:type="dxa" w:w="120"/>
            </w:tcMar>
          </w:tcPr>
          <w:p>
            <w:r>
              <w:rPr>
                <w:b/>
                <w:bCs/>
                <w:color w:val="FFFFFF"/>
                <w:sz w:val="18"/>
                <w:szCs w:val="18"/>
              </w:rPr>
              <w:t xml:space="preserve">Executed as a deed by AWC KINGSMOOR PROPCO LIMITED</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Director: .............................</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Director: .............................</w:t>
            </w:r>
          </w:p>
        </w:tc>
      </w:tr>
      <w:tr>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Director/Secretary: .............................</w:t>
            </w:r>
          </w:p>
        </w:tc>
        <w:tc>
          <w:tcPr>
            <w:tcW w:type="dxa" w:w="4513"/>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b w:val="false"/>
                <w:bCs w:val="false"/>
                <w:color w:val="000000"/>
                <w:sz w:val="18"/>
                <w:szCs w:val="18"/>
              </w:rPr>
              <w:t xml:space="preserve">Director/Secretary: .............................</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spacing w:before="100"/>
    </w:pPr>
    <w:r>
      <w:rPr>
        <w:color w:val="777777"/>
        <w:sz w:val="14"/>
        <w:szCs w:val="14"/>
      </w:rPr>
      <w:t xml:space="preserve">Whitfield Carter LLP is a limited liability partnership registered in England and Wales (OC418823). Confidential and may be legally privileged.</w:t>
    </w:r>
  </w:p>
  <w:p>
    <w:pPr>
      <w:jc w:val="right"/>
    </w:pPr>
    <w:r>
      <w:rPr>
        <w:color w:val="777777"/>
        <w:sz w:val="16"/>
        <w:szCs w:val="16"/>
      </w:rPr>
      <w:t xml:space="preserve">Page </w:t>
    </w:r>
    <w:r>
      <w:rPr>
        <w:color w:val="777777"/>
        <w:sz w:val="16"/>
        <w:szCs w:val="16"/>
      </w:rPr>
      <w:fldChar w:fldCharType="begin"/>
      <w:instrText xml:space="preserve">PAGE</w:instrText>
      <w:fldChar w:fldCharType="separate"/>
      <w:fldChar w:fldCharType="end"/>
    </w:r>
    <w:r>
      <w:rPr>
        <w:color w:val="777777"/>
        <w:sz w:val="16"/>
        <w:szCs w:val="16"/>
      </w:rPr>
      <w:t xml:space="preserve"> of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200"/>
    </w:pPr>
    <w:r>
      <w:rPr>
        <w:b/>
        <w:bCs/>
        <w:sz w:val="24"/>
        <w:szCs w:val="24"/>
      </w:rPr>
      <w:t xml:space="preserve">Whitfield Carter LLP</w:t>
    </w:r>
    <w:r>
      <w:rPr>
        <w:color w:val="555555"/>
        <w:sz w:val="16"/>
        <w:szCs w:val="16"/>
      </w:rPr>
      <w:t xml:space="preserve">	Assignment of Rent Deposit Deeds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1080" w:hanging="1080"/>
      </w:pPr>
    </w:lvl>
    <w:lvl w:ilvl="2" w15:tentative="1">
      <w:start w:val="1"/>
      <w:numFmt w:val="lowerLetter"/>
      <w:lvlText w:val="(%3)"/>
      <w:lvlJc w:val="left"/>
      <w:pPr>
        <w:ind w:left="1440" w:hanging="720"/>
      </w:pPr>
    </w:lvl>
    <w:lvl w:ilvl="3" w15:tentative="1">
      <w:start w:val="1"/>
      <w:numFmt w:val="lowerRoman"/>
      <w:lvlText w:val="(%4)"/>
      <w:lvlJc w:val="left"/>
      <w:pPr>
        <w:ind w:left="1800" w:hanging="720"/>
      </w:pPr>
    </w:lvl>
  </w:abstractNum>
  <w:abstractNum w:abstractNumId="3" w15:restartNumberingAfterBreak="0">
    <w:multiLevelType w:val="hybridMultilevel"/>
    <w:lvl w:ilvl="0" w15:tentative="1">
      <w:start w:val="1"/>
      <w:numFmt w:val="upperLetter"/>
      <w:lvlText w:val="(%1)"/>
      <w:lvlJc w:val="left"/>
      <w:pPr>
        <w:ind w:left="720" w:hanging="72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Georgia" w:cs="Georgia" w:eastAsia="Georgia" w:hAnsi="Georgia"/>
      <w:b/>
      <w:bCs/>
      <w:sz w:val="26"/>
      <w:szCs w:val="26"/>
    </w:rPr>
  </w:style>
  <w:style w:type="paragraph" w:styleId="Heading2">
    <w:name w:val="Heading 2"/>
    <w:basedOn w:val="Normal"/>
    <w:next w:val="Normal"/>
    <w:qFormat/>
    <w:pPr>
      <w:spacing w:after="120" w:before="180"/>
      <w:outlineLvl w:val="1"/>
    </w:pPr>
    <w:rPr>
      <w:rFonts w:ascii="Georgia" w:cs="Georgia" w:eastAsia="Georgia" w:hAnsi="Georgia"/>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2026-07-01T11:14:58.769Z</dcterms:created>
  <dcterms:modified xsi:type="dcterms:W3CDTF">2026-07-01T11:14:58.769Z</dcterms:modified>
</cp:coreProperties>
</file>

<file path=docProps/custom.xml><?xml version="1.0" encoding="utf-8"?>
<Properties xmlns="http://schemas.openxmlformats.org/officeDocument/2006/custom-properties" xmlns:vt="http://schemas.openxmlformats.org/officeDocument/2006/docPropsVTypes"/>
</file>