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18"/>
          <w:szCs w:val="18"/>
        </w:rPr>
        <w:t xml:space="preserve">CPSE.1 (version 3.8)</w:t>
      </w:r>
    </w:p>
    <w:p>
      <w:pPr>
        <w:spacing w:after="120"/>
        <w:jc w:val="center"/>
      </w:pPr>
      <w:r>
        <w:rPr>
          <w:b/>
          <w:bCs/>
          <w:sz w:val="22"/>
          <w:szCs w:val="22"/>
        </w:rPr>
        <w:t xml:space="preserve">General pre-contract enquiries for all commercial property transactions</w:t>
      </w:r>
    </w:p>
    <w:p>
      <w:pPr>
        <w:spacing w:after="120"/>
        <w:jc w:val="center"/>
      </w:pPr>
      <w:r>
        <w:rPr>
          <w:i/>
          <w:iCs/>
          <w:sz w:val="18"/>
          <w:szCs w:val="18"/>
        </w:rPr>
        <w:t xml:space="preserve">Replies given by the Seller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Property</w:t>
            </w:r>
          </w:p>
        </w:tc>
        <w:tc>
          <w:tcPr>
            <w:tcW w:type="dxa" w:w="66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Meridian Trade Park, Siskin Drive, Coventry CV3 4FJ</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Seller</w:t>
            </w:r>
          </w:p>
        </w:tc>
        <w:tc>
          <w:tcPr>
            <w:tcW w:type="dxa" w:w="66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Hartside Estates Limited (company no. 06721140)</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Buyer</w:t>
            </w:r>
          </w:p>
        </w:tc>
        <w:tc>
          <w:tcPr>
            <w:tcW w:type="dxa" w:w="66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AWC Meridian Propco Limited</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Seller’s solicitors</w:t>
            </w:r>
          </w:p>
        </w:tc>
        <w:tc>
          <w:tcPr>
            <w:tcW w:type="dxa" w:w="66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Castle &amp; Vane LLP (ref: JV/Meridian)</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Buyer’s solicitors</w:t>
            </w:r>
          </w:p>
        </w:tc>
        <w:tc>
          <w:tcPr>
            <w:tcW w:type="dxa" w:w="66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Whitfield Carter LLP (ref: WC-00157)</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Date of replies</w:t>
            </w:r>
          </w:p>
        </w:tc>
        <w:tc>
          <w:tcPr>
            <w:tcW w:type="dxa" w:w="66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bCs/>
                <w:sz w:val="18"/>
                <w:szCs w:val="18"/>
              </w:rPr>
              <w:t xml:space="preserve">18 November 2025</w:t>
            </w:r>
          </w:p>
        </w:tc>
      </w:tr>
    </w:tbl>
    <w:p>
      <w:r>
        <w:t xml:space="preserve"/>
      </w:r>
    </w:p>
    <w:p>
      <w:pPr>
        <w:spacing w:after="80"/>
        <w:jc w:val="both"/>
      </w:pPr>
      <w:r>
        <w:t xml:space="preserve">These replies are given by the Seller without liability on the part of the Seller’s solicitors. They are believed to be correct but the accuracy is not guaranteed and they do not obviate the need to make appropriate searches, enquiries and inspections.</w:t>
      </w:r>
    </w:p>
    <w:p>
      <w:pPr>
        <w:pStyle w:val="Heading2"/>
      </w:pPr>
      <w:r>
        <w:t xml:space="preserve">1. Boundaries and extent</w:t>
      </w:r>
    </w:p>
    <w:p>
      <w:pPr>
        <w:spacing w:after="40"/>
      </w:pPr>
      <w:r>
        <w:rPr>
          <w:b/>
          <w:bCs/>
        </w:rPr>
        <w:t xml:space="preserve">1.1  Please confirm the boundaries of the Property are as shown on the title plan.</w:t>
      </w:r>
    </w:p>
    <w:p>
      <w:pPr>
        <w:spacing w:after="100"/>
        <w:jc w:val="both"/>
      </w:pPr>
      <w:r>
        <w:rPr>
          <w:b/>
          <w:bCs/>
          <w:i/>
          <w:iCs/>
        </w:rPr>
        <w:t xml:space="preserve">Reply: </w:t>
      </w:r>
      <w:r>
        <w:t xml:space="preserve">Confirmed. The boundaries are as shown edged red on the title plan to title number WM918244. The Seller is not aware of any boundary disputes.</w:t>
      </w:r>
    </w:p>
    <w:p>
      <w:pPr>
        <w:spacing w:after="40"/>
      </w:pPr>
      <w:r>
        <w:rPr>
          <w:b/>
          <w:bCs/>
        </w:rPr>
        <w:t xml:space="preserve">1.2  Who has maintained each boundary?</w:t>
      </w:r>
    </w:p>
    <w:p>
      <w:pPr>
        <w:spacing w:after="100"/>
        <w:jc w:val="both"/>
      </w:pPr>
      <w:r>
        <w:rPr>
          <w:b/>
          <w:bCs/>
          <w:i/>
          <w:iCs/>
        </w:rPr>
        <w:t xml:space="preserve">Reply: </w:t>
      </w:r>
      <w:r>
        <w:t xml:space="preserve">The Seller has maintained the perimeter fencing and gates to the estate as part of the service charge. Internal demising of units is the responsibility of the respective tenants under their leases.</w:t>
      </w:r>
    </w:p>
    <w:p>
      <w:pPr>
        <w:pStyle w:val="Heading2"/>
      </w:pPr>
      <w:r>
        <w:t xml:space="preserve">2. Rights and informal arrangements</w:t>
      </w:r>
    </w:p>
    <w:p>
      <w:pPr>
        <w:spacing w:after="40"/>
      </w:pPr>
      <w:r>
        <w:rPr>
          <w:b/>
          <w:bCs/>
        </w:rPr>
        <w:t xml:space="preserve">2.1  Please give details of all rights enjoyed by the Property over neighbouring land.</w:t>
      </w:r>
    </w:p>
    <w:p>
      <w:pPr>
        <w:spacing w:after="100"/>
        <w:jc w:val="both"/>
      </w:pPr>
      <w:r>
        <w:rPr>
          <w:b/>
          <w:bCs/>
          <w:i/>
          <w:iCs/>
        </w:rPr>
        <w:t xml:space="preserve">Reply: </w:t>
      </w:r>
      <w:r>
        <w:t xml:space="preserve">The Property enjoys rights of way and rights for services over the adopted highway at Siskin Drive. There are no informal or precarious arrangements of which the Seller is aware.</w:t>
      </w:r>
    </w:p>
    <w:p>
      <w:pPr>
        <w:spacing w:after="40"/>
      </w:pPr>
      <w:r>
        <w:rPr>
          <w:b/>
          <w:bCs/>
        </w:rPr>
        <w:t xml:space="preserve">2.2  Are there any rights or arrangements that benefit third parties over the Property?</w:t>
      </w:r>
    </w:p>
    <w:p>
      <w:pPr>
        <w:spacing w:after="100"/>
        <w:jc w:val="both"/>
      </w:pPr>
      <w:r>
        <w:rPr>
          <w:b/>
          <w:bCs/>
          <w:i/>
          <w:iCs/>
        </w:rPr>
        <w:t xml:space="preserve">Reply: </w:t>
      </w:r>
      <w:r>
        <w:t xml:space="preserve">Other than the rights granted to tenants under the Occupational Leases and statutory undertakers’ apparatus, the Seller is not aware of any such rights.</w:t>
      </w:r>
    </w:p>
    <w:p>
      <w:pPr>
        <w:pStyle w:val="Heading2"/>
      </w:pPr>
      <w:r>
        <w:t xml:space="preserve">3. Adverse rights</w:t>
      </w:r>
    </w:p>
    <w:p>
      <w:pPr>
        <w:spacing w:after="40"/>
      </w:pPr>
      <w:r>
        <w:rPr>
          <w:b/>
          <w:bCs/>
        </w:rPr>
        <w:t xml:space="preserve">3.1  Is the Seller aware of any adverse rights, easements or overriding interests affecting the Property?</w:t>
      </w:r>
    </w:p>
    <w:p>
      <w:pPr>
        <w:spacing w:after="100"/>
        <w:jc w:val="both"/>
      </w:pPr>
      <w:r>
        <w:rPr>
          <w:b/>
          <w:bCs/>
          <w:i/>
          <w:iCs/>
        </w:rPr>
        <w:t xml:space="preserve">Reply: </w:t>
      </w:r>
      <w:r>
        <w:t xml:space="preserve">Save as appears from the registers of title and the replies given, the Seller is not aware of any adverse rights or overriding interests.</w:t>
      </w:r>
    </w:p>
    <w:p>
      <w:pPr>
        <w:pStyle w:val="Heading2"/>
      </w:pPr>
      <w:r>
        <w:t xml:space="preserve">4. Title policies</w:t>
      </w:r>
    </w:p>
    <w:p>
      <w:pPr>
        <w:spacing w:after="40"/>
      </w:pPr>
      <w:r>
        <w:rPr>
          <w:b/>
          <w:bCs/>
        </w:rPr>
        <w:t xml:space="preserve">4.1  Is the Property subject to any defective title indemnity policy?</w:t>
      </w:r>
    </w:p>
    <w:p>
      <w:pPr>
        <w:spacing w:after="100"/>
        <w:jc w:val="both"/>
      </w:pPr>
      <w:r>
        <w:rPr>
          <w:b/>
          <w:bCs/>
          <w:i/>
          <w:iCs/>
        </w:rPr>
        <w:t xml:space="preserve">Reply: </w:t>
      </w:r>
      <w:r>
        <w:t xml:space="preserve">No.</w:t>
      </w:r>
    </w:p>
    <w:p>
      <w:pPr>
        <w:pStyle w:val="Heading2"/>
      </w:pPr>
      <w:r>
        <w:t xml:space="preserve">5. Access</w:t>
      </w:r>
    </w:p>
    <w:p>
      <w:pPr>
        <w:spacing w:after="40"/>
      </w:pPr>
      <w:r>
        <w:rPr>
          <w:b/>
          <w:bCs/>
        </w:rPr>
        <w:t xml:space="preserve">5.1  Is access to and egress from the Property over roads that have been adopted and maintained at public expense?</w:t>
      </w:r>
    </w:p>
    <w:p>
      <w:pPr>
        <w:spacing w:after="100"/>
        <w:jc w:val="both"/>
      </w:pPr>
      <w:r>
        <w:rPr>
          <w:b/>
          <w:bCs/>
          <w:i/>
          <w:iCs/>
        </w:rPr>
        <w:t xml:space="preserve">Reply: </w:t>
      </w:r>
      <w:r>
        <w:t xml:space="preserve">Yes. Siskin Drive is an adopted highway maintainable at public expense. The internal estate roads are private and maintained by the landlord through the service charge.</w:t>
      </w:r>
    </w:p>
    <w:p>
      <w:pPr>
        <w:pStyle w:val="Heading2"/>
      </w:pPr>
      <w:r>
        <w:t xml:space="preserve">6. Physical condition</w:t>
      </w:r>
    </w:p>
    <w:p>
      <w:pPr>
        <w:spacing w:after="40"/>
      </w:pPr>
      <w:r>
        <w:rPr>
          <w:b/>
          <w:bCs/>
        </w:rPr>
        <w:t xml:space="preserve">6.1  Has any part of the Property been affected by structural defects, subsidence, flooding or contamination?</w:t>
      </w:r>
    </w:p>
    <w:p>
      <w:pPr>
        <w:spacing w:after="100"/>
        <w:jc w:val="both"/>
      </w:pPr>
      <w:r>
        <w:rPr>
          <w:b/>
          <w:bCs/>
          <w:i/>
          <w:iCs/>
        </w:rPr>
        <w:t xml:space="preserve">Reply: </w:t>
      </w:r>
      <w:r>
        <w:t xml:space="preserve">The Seller refers the Buyer to the building survey commissioned by the Buyer. The Seller is aware of localised water ingress to the roof of Unit 2, in respect of which a retention has been agreed. The Seller is not otherwise aware of any structural defects, subsidence or flooding.</w:t>
      </w:r>
    </w:p>
    <w:p>
      <w:pPr>
        <w:spacing w:after="40"/>
      </w:pPr>
      <w:r>
        <w:rPr>
          <w:b/>
          <w:bCs/>
        </w:rPr>
        <w:t xml:space="preserve">6.2  Has any asbestos survey been carried out?</w:t>
      </w:r>
    </w:p>
    <w:p>
      <w:pPr>
        <w:spacing w:after="100"/>
        <w:jc w:val="both"/>
      </w:pPr>
      <w:r>
        <w:rPr>
          <w:b/>
          <w:bCs/>
          <w:i/>
          <w:iCs/>
        </w:rPr>
        <w:t xml:space="preserve">Reply: </w:t>
      </w:r>
      <w:r>
        <w:t xml:space="preserve">Yes. An asbestos management survey was carried out in March 2023; a copy is in the data room. Asbestos-containing materials were identified in the soffits to Units 3 and 7 and are managed under the asbestos management plan.</w:t>
      </w:r>
    </w:p>
    <w:p>
      <w:pPr>
        <w:pStyle w:val="Heading2"/>
      </w:pPr>
      <w:r>
        <w:t xml:space="preserve">7. Services</w:t>
      </w:r>
    </w:p>
    <w:p>
      <w:pPr>
        <w:spacing w:after="40"/>
      </w:pPr>
      <w:r>
        <w:rPr>
          <w:b/>
          <w:bCs/>
        </w:rPr>
        <w:t xml:space="preserve">7.1  Which services are connected to the Property?</w:t>
      </w:r>
    </w:p>
    <w:p>
      <w:pPr>
        <w:spacing w:after="100"/>
        <w:jc w:val="both"/>
      </w:pPr>
      <w:r>
        <w:rPr>
          <w:b/>
          <w:bCs/>
          <w:i/>
          <w:iCs/>
        </w:rPr>
        <w:t xml:space="preserve">Reply: </w:t>
      </w:r>
      <w:r>
        <w:t xml:space="preserve">Mains electricity (including a substation serving the estate), mains water, mains drainage and gas are connected. Telecoms and broadband are available.</w:t>
      </w:r>
    </w:p>
    <w:p>
      <w:pPr>
        <w:pStyle w:val="Heading2"/>
      </w:pPr>
      <w:r>
        <w:t xml:space="preserve">8. Occupiers and employees</w:t>
      </w:r>
    </w:p>
    <w:p>
      <w:pPr>
        <w:spacing w:after="40"/>
      </w:pPr>
      <w:r>
        <w:rPr>
          <w:b/>
          <w:bCs/>
        </w:rPr>
        <w:t xml:space="preserve">8.1  Please give details of everyone in actual occupation of the Property.</w:t>
      </w:r>
    </w:p>
    <w:p>
      <w:pPr>
        <w:spacing w:after="100"/>
        <w:jc w:val="both"/>
      </w:pPr>
      <w:r>
        <w:rPr>
          <w:b/>
          <w:bCs/>
          <w:i/>
          <w:iCs/>
        </w:rPr>
        <w:t xml:space="preserve">Reply: </w:t>
      </w:r>
      <w:r>
        <w:t xml:space="preserve">The Property is occupied by the tenants listed in the tenancy schedule, save for Unit 5 which is vacant. There are no other occupiers and no employees are employed at the Property.</w:t>
      </w:r>
    </w:p>
    <w:p>
      <w:pPr>
        <w:pStyle w:val="Heading2"/>
      </w:pPr>
      <w:r>
        <w:t xml:space="preserve">9. Tenancies</w:t>
      </w:r>
    </w:p>
    <w:p>
      <w:pPr>
        <w:spacing w:after="40"/>
      </w:pPr>
      <w:r>
        <w:rPr>
          <w:b/>
          <w:bCs/>
        </w:rPr>
        <w:t xml:space="preserve">9.1  Please confirm the tenancy schedule supplied is complete and accurate.</w:t>
      </w:r>
    </w:p>
    <w:p>
      <w:pPr>
        <w:spacing w:after="100"/>
        <w:jc w:val="both"/>
      </w:pPr>
      <w:r>
        <w:rPr>
          <w:b/>
          <w:bCs/>
          <w:i/>
          <w:iCs/>
        </w:rPr>
        <w:t xml:space="preserve">Reply: </w:t>
      </w:r>
      <w:r>
        <w:t xml:space="preserve">Confirmed, subject to the following: a rent deposit of £84,000 is held in respect of Unit 6 (Northgate Tooling Ltd) under a rent deposit deed dated 14 December 2021; Northgate Tooling Ltd is currently one quarter in arrears, which the Seller is pursuing.</w:t>
      </w:r>
    </w:p>
    <w:p>
      <w:pPr>
        <w:spacing w:after="40"/>
      </w:pPr>
      <w:r>
        <w:rPr>
          <w:b/>
          <w:bCs/>
        </w:rPr>
        <w:t xml:space="preserve">9.2  Are there any rent reviews currently in progress?</w:t>
      </w:r>
    </w:p>
    <w:p>
      <w:pPr>
        <w:spacing w:after="100"/>
        <w:jc w:val="both"/>
      </w:pPr>
      <w:r>
        <w:rPr>
          <w:b/>
          <w:bCs/>
          <w:i/>
          <w:iCs/>
        </w:rPr>
        <w:t xml:space="preserve">Reply: </w:t>
      </w:r>
      <w:r>
        <w:t xml:space="preserve">No rent review is currently the subject of a referral to a third party. The review of Unit 9 (Greenbridge Garden Centre Ltd) falls due on 25 December 2025 and has not yet been initiated.</w:t>
      </w:r>
    </w:p>
    <w:p>
      <w:pPr>
        <w:spacing w:after="40"/>
      </w:pPr>
      <w:r>
        <w:rPr>
          <w:b/>
          <w:bCs/>
        </w:rPr>
        <w:t xml:space="preserve">9.3  Are there any outstanding applications by tenants for consent (e.g. to assign, underlet or alter)?</w:t>
      </w:r>
    </w:p>
    <w:p>
      <w:pPr>
        <w:spacing w:after="100"/>
        <w:jc w:val="both"/>
      </w:pPr>
      <w:r>
        <w:rPr>
          <w:b/>
          <w:bCs/>
          <w:i/>
          <w:iCs/>
        </w:rPr>
        <w:t xml:space="preserve">Reply: </w:t>
      </w:r>
      <w:r>
        <w:t xml:space="preserve">Maddox Joinery Ltd (Unit 7) has made an informal enquiry about alterations to install a mezzanine. No formal application has been received and no licence has been granted.</w:t>
      </w:r>
    </w:p>
    <w:p>
      <w:pPr>
        <w:pStyle w:val="Heading2"/>
      </w:pPr>
      <w:r>
        <w:t xml:space="preserve">10. Disputes</w:t>
      </w:r>
    </w:p>
    <w:p>
      <w:pPr>
        <w:spacing w:after="40"/>
      </w:pPr>
      <w:r>
        <w:rPr>
          <w:b/>
          <w:bCs/>
        </w:rPr>
        <w:t xml:space="preserve">10.1  Are there any current or anticipated disputes relating to the Property?</w:t>
      </w:r>
    </w:p>
    <w:p>
      <w:pPr>
        <w:spacing w:after="100"/>
        <w:jc w:val="both"/>
      </w:pPr>
      <w:r>
        <w:rPr>
          <w:b/>
          <w:bCs/>
          <w:i/>
          <w:iCs/>
        </w:rPr>
        <w:t xml:space="preserve">Reply: </w:t>
      </w:r>
      <w:r>
        <w:t xml:space="preserve">Other than the rent arrears referred to at 9.1, the Seller is not aware of any current or anticipated disputes.</w:t>
      </w:r>
    </w:p>
    <w:p>
      <w:pPr>
        <w:pStyle w:val="Heading2"/>
      </w:pPr>
      <w:r>
        <w:t xml:space="preserve">11. Notices</w:t>
      </w:r>
    </w:p>
    <w:p>
      <w:pPr>
        <w:spacing w:after="40"/>
      </w:pPr>
      <w:r>
        <w:rPr>
          <w:b/>
          <w:bCs/>
        </w:rPr>
        <w:t xml:space="preserve">11.1  Please give details of any notices affecting the Property.</w:t>
      </w:r>
    </w:p>
    <w:p>
      <w:pPr>
        <w:spacing w:after="100"/>
        <w:jc w:val="both"/>
      </w:pPr>
      <w:r>
        <w:rPr>
          <w:b/>
          <w:bCs/>
          <w:i/>
          <w:iCs/>
        </w:rPr>
        <w:t xml:space="preserve">Reply: </w:t>
      </w:r>
      <w:r>
        <w:t xml:space="preserve">The Seller has received no statutory notices requiring works to be carried out which remain outstanding.</w:t>
      </w:r>
    </w:p>
    <w:p>
      <w:pPr>
        <w:pStyle w:val="Heading2"/>
      </w:pPr>
      <w:r>
        <w:t xml:space="preserve">12. Outgoings</w:t>
      </w:r>
    </w:p>
    <w:p>
      <w:pPr>
        <w:spacing w:after="40"/>
      </w:pPr>
      <w:r>
        <w:rPr>
          <w:b/>
          <w:bCs/>
        </w:rPr>
        <w:t xml:space="preserve">12.1  What are the present outgoings for the Property?</w:t>
      </w:r>
    </w:p>
    <w:p>
      <w:pPr>
        <w:spacing w:after="100"/>
        <w:jc w:val="both"/>
      </w:pPr>
      <w:r>
        <w:rPr>
          <w:b/>
          <w:bCs/>
          <w:i/>
          <w:iCs/>
        </w:rPr>
        <w:t xml:space="preserve">Reply: </w:t>
      </w:r>
      <w:r>
        <w:t xml:space="preserve">Business rates are payable by the respective tenants. The Seller maintains buildings insurance recharged through the service charge; the current annual premium is £41,860. The service charge budget for the current year is £148,200.</w:t>
      </w:r>
    </w:p>
    <w:p>
      <w:pPr>
        <w:pStyle w:val="Heading2"/>
      </w:pPr>
      <w:r>
        <w:t xml:space="preserve">13. VAT</w:t>
      </w:r>
    </w:p>
    <w:p>
      <w:pPr>
        <w:spacing w:after="40"/>
      </w:pPr>
      <w:r>
        <w:rPr>
          <w:b/>
          <w:bCs/>
        </w:rPr>
        <w:t xml:space="preserve">13.1  Has the Seller elected to waive exemption (opted to tax) in respect of the Property?</w:t>
      </w:r>
    </w:p>
    <w:p>
      <w:pPr>
        <w:spacing w:after="100"/>
        <w:jc w:val="both"/>
      </w:pPr>
      <w:r>
        <w:rPr>
          <w:b/>
          <w:bCs/>
          <w:i/>
          <w:iCs/>
        </w:rPr>
        <w:t xml:space="preserve">Reply: </w:t>
      </w:r>
      <w:r>
        <w:t xml:space="preserve">Yes. The Seller opted to tax the Property with effect from 1 April 2014. The parties intend to treat the sale as a transfer of a going concern.</w:t>
      </w:r>
    </w:p>
    <w:p>
      <w:pPr>
        <w:pStyle w:val="Heading2"/>
      </w:pPr>
      <w:r>
        <w:t xml:space="preserve">14. Capital allowances</w:t>
      </w:r>
    </w:p>
    <w:p>
      <w:pPr>
        <w:spacing w:after="40"/>
      </w:pPr>
      <w:r>
        <w:rPr>
          <w:b/>
          <w:bCs/>
        </w:rPr>
        <w:t xml:space="preserve">14.1  Has the Seller claimed capital allowances in respect of the Property?</w:t>
      </w:r>
    </w:p>
    <w:p>
      <w:pPr>
        <w:spacing w:after="100"/>
        <w:jc w:val="both"/>
      </w:pPr>
      <w:r>
        <w:rPr>
          <w:b/>
          <w:bCs/>
          <w:i/>
          <w:iCs/>
        </w:rPr>
        <w:t xml:space="preserve">Reply: </w:t>
      </w:r>
      <w:r>
        <w:t xml:space="preserve">Yes, in respect of integral features and plant. A section 198 election in the agreed form is to be entered into on completion fixing the disposal value at £1.</w:t>
      </w:r>
    </w:p>
    <w:p>
      <w:pPr>
        <w:pStyle w:val="Heading2"/>
      </w:pPr>
      <w:r>
        <w:t xml:space="preserve">15. Deferred liability</w:t>
      </w:r>
    </w:p>
    <w:p>
      <w:pPr>
        <w:spacing w:after="40"/>
      </w:pPr>
      <w:r>
        <w:rPr>
          <w:b/>
          <w:bCs/>
        </w:rPr>
        <w:t xml:space="preserve">15.1  Is the Seller aware of any deferred or contingent liability affecting the Property?</w:t>
      </w:r>
    </w:p>
    <w:p>
      <w:pPr>
        <w:spacing w:after="100"/>
        <w:jc w:val="both"/>
      </w:pPr>
      <w:r>
        <w:rPr>
          <w:b/>
          <w:bCs/>
          <w:i/>
          <w:iCs/>
        </w:rPr>
        <w:t xml:space="preserve">Reply: </w:t>
      </w:r>
      <w:r>
        <w:t xml:space="preserve">No, save for the overage arrangement to be entered into on completion.</w:t>
      </w:r>
    </w:p>
    <w:p>
      <w:r>
        <w:t xml:space="preserve"/>
      </w:r>
    </w:p>
    <w:p>
      <w:pPr>
        <w:spacing w:after="80"/>
        <w:jc w:val="both"/>
      </w:pPr>
      <w:r>
        <w:t xml:space="preserve">Signed for and on behalf of the Seller: ......................................   (Linda Crowe, Property Manager)   Date: 18 November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777777"/>
        <w:sz w:val="14"/>
        <w:szCs w:val="14"/>
      </w:rPr>
      <w:t xml:space="preserve">CPSE.1 Replies — Meridian Trade Park</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2026-06-27T22:19:34.095Z</dcterms:created>
  <dcterms:modified xsi:type="dcterms:W3CDTF">2026-06-27T22:19:34.095Z</dcterms:modified>
</cp:coreProperties>
</file>

<file path=docProps/custom.xml><?xml version="1.0" encoding="utf-8"?>
<Properties xmlns="http://schemas.openxmlformats.org/officeDocument/2006/custom-properties" xmlns:vt="http://schemas.openxmlformats.org/officeDocument/2006/docPropsVTypes"/>
</file>