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line="276"/>
      </w:pPr>
      <w:r>
        <w:rPr>
          <w:b/>
          <w:bCs/>
          <w:sz w:val="24"/>
          <w:szCs w:val="24"/>
        </w:rPr>
        <w:t xml:space="preserve">Project Quartz — Completion Checklist</w:t>
      </w:r>
    </w:p>
    <w:p>
      <w:pPr>
        <w:spacing w:after="140" w:line="276"/>
      </w:pPr>
      <w:r>
        <w:rPr>
          <w:b/>
          <w:bCs/>
        </w:rPr>
        <w:t xml:space="preserve">Completion target: </w:t>
      </w:r>
      <w:r>
        <w:t xml:space="preserve">12 December 2025</w:t>
      </w:r>
    </w:p>
    <w:p>
      <w:pPr>
        <w:spacing w:after="140" w:line="276"/>
      </w:pPr>
      <w:r>
        <w:rPr>
          <w:b/>
          <w:bCs/>
        </w:rPr>
        <w:t xml:space="preserve">Prepared by: </w:t>
      </w:r>
      <w:r>
        <w:t xml:space="preserve">Elena Marchetti, Whitfield Carter LLP — version of 9 December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4400"/>
        <w:gridCol w:w="2400"/>
        <w:gridCol w:w="2000"/>
      </w:tblGrid>
      <w:tr>
        <w:trPr>
          <w:tblHeader/>
        </w:trP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Document / Step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Responsible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shd w:fill="1F3864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Patent Licence Agreement (execution version) finalised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WC / Denham Lewis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Agreed 8 Dec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Side letter finalised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WC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Agreed 8 Dec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Aldridge board approval (minutes)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Aldridge / WC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Passed 10 Dec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Brandt management approval (Geschäftsführung resolution)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Brandt / Denham Lewis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Confirmed 9 Dec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Schedule 1 patent particulars verified with Hartington IP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Hartington IP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Confirmed 5 Dec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Technical package (Schedule 2) ready for delivery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Aldridge (Dr Tindall)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Ready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Execution copies circulated for e-signature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WC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Circulated 11 Dec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Upfront fee £1,250,000 — payment instructions issued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Aldridge / Brandt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Issued 11 Dec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Receipt of upfront fee confirmed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Aldridge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On completion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Exchange of signed counterparts; release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WC / Denham Lewis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On completion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Conformed copies and bible distributed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WC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Post-completion</w:t>
            </w:r>
          </w:p>
        </w:tc>
      </w:tr>
      <w:tr>
        <w:tc>
          <w:tcPr>
            <w:tcW w:type="dxa" w:w="56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4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Patent register note of exclusive licence (optional)</w:t>
            </w:r>
          </w:p>
        </w:tc>
        <w:tc>
          <w:tcPr>
            <w:tcW w:type="dxa" w:w="24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Hartington IP</w:t>
            </w:r>
          </w:p>
        </w:tc>
        <w:tc>
          <w:tcPr>
            <w:tcW w:type="dxa" w:w="200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Post-completion</w:t>
            </w:r>
          </w:p>
        </w:tc>
      </w:tr>
    </w:tbl>
    <w:p>
      <w:pPr>
        <w:spacing w:before="160"/>
      </w:pPr>
      <w:r>
        <w:t xml:space="preserve">Notes: Completion to occur by exchange of e-signed PDF counterparts under clause 14 of the Licence. The licence is not conditional; the upfront fee is payable within 10 business days of completion but the parties have agreed to remit on the completion date.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4" w:space="4"/>
      </w:pBdr>
      <w:spacing w:before="60"/>
      <w:jc w:val="center"/>
    </w:pPr>
    <w:r>
      <w:rPr>
        <w:color w:val="777777"/>
        <w:sz w:val="14"/>
        <w:szCs w:val="14"/>
      </w:rPr>
      <w:t xml:space="preserve">Project Quartz — Completion Checklist   —   Page </w:t>
    </w:r>
    <w:r>
      <w:rPr>
        <w:color w:val="777777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4"/>
        <w:szCs w:val="14"/>
      </w:rPr>
      <w:t xml:space="preserve"> of </w:t>
    </w:r>
    <w:r>
      <w:rPr>
        <w:color w:val="777777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</w:pPr>
    <w:r>
      <w:rPr>
        <w:b/>
        <w:bCs/>
        <w:color w:val="1F3864"/>
        <w:sz w:val="30"/>
        <w:szCs w:val="30"/>
      </w:rPr>
      <w:t xml:space="preserve">Whitfield Carter LLP</w:t>
    </w:r>
  </w:p>
  <w:p>
    <w:pPr>
      <w:spacing w:after="40"/>
    </w:pPr>
    <w:r>
      <w:rPr>
        <w:color w:val="555555"/>
        <w:sz w:val="15"/>
        <w:szCs w:val="15"/>
      </w:rPr>
      <w:t xml:space="preserve">Solicitors   |   22 Bishopsgate, London EC2N 4BQ   |   www.whitfieldcarter.com</w:t>
    </w:r>
  </w:p>
  <w:p>
    <w:pPr>
      <w:pBdr>
        <w:bottom w:val="single" w:color="1F3864" w:sz="8" w:space="4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280"/>
      <w:outlineLvl w:val="0"/>
    </w:pPr>
    <w:rPr>
      <w:rFonts w:ascii="Arial" w:cs="Arial" w:eastAsia="Arial" w:hAnsi="Arial"/>
      <w:b/>
      <w:bCs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00" w:before="180"/>
      <w:outlineLvl w:val="1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Whitfield Carter LLP</dc:creator>
  <cp:lastModifiedBy>Un-named</cp:lastModifiedBy>
  <cp:revision>1</cp:revision>
  <dcterms:created xsi:type="dcterms:W3CDTF">2026-06-29T11:23:05.439Z</dcterms:created>
  <dcterms:modified xsi:type="dcterms:W3CDTF">2026-06-29T11:23:05.439Z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