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PROJECT QUARTZ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NON-BINDING TERM SHEET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Exclusive Patent Licence — AB-COAT™ barrier-coating technology</w:t>
      </w:r>
    </w:p>
    <w:p>
      <w:pPr>
        <w:spacing w:after="140" w:line="276"/>
      </w:pPr>
      <w:r>
        <w:rPr>
          <w:b/>
          <w:bCs/>
        </w:rPr>
        <w:t xml:space="preserve">Date: </w:t>
      </w:r>
      <w:r>
        <w:t xml:space="preserve">18 September 2025</w:t>
      </w:r>
    </w:p>
    <w:p>
      <w:pPr>
        <w:spacing w:after="140" w:line="276"/>
      </w:pPr>
      <w:r>
        <w:rPr>
          <w:b/>
          <w:bCs/>
        </w:rPr>
        <w:t xml:space="preserve">Status: </w:t>
      </w:r>
      <w:r>
        <w:t xml:space="preserve">This term sheet records the principal terms of the proposed licence and is not legally binding, save for the sections headed Exclusivity, Confidentiality and Costs, which are binding.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Proposed terms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Licensor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Aldridge Biomaterials Limited (registered no. 13884201)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Licensee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Brandt Packaging Solutions GmbH (HRB 204417)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Licensed IP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AB-COAT™ patent family (5 patents/applications) — see attached schedule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Field of use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Compostable and recyclable flexible packaging films and laminates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Territory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Europe (to be finalised in definitive documents)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Exclusivity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Exclusive in the Field in the Territory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Upfront fee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£1,500,000 payable on completion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Running royalty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6.5% of Net Sales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Minimum royalty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£150k (yr 1), £350k (yr 2), £500k (yr 3+)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Technology transfer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Formulations, process parameters, QC protocols; 15 person-days assistance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Until expiry of the last Licensed Patent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Governing law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England and Wales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Exclusivity period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Exclusive negotiation until 30 November 2025</w:t>
            </w:r>
          </w:p>
        </w:tc>
      </w:tr>
    </w:tbl>
    <w:p>
      <w:pPr>
        <w:spacing w:before="160"/>
      </w:pPr>
      <w:r>
        <w:t xml:space="preserve">The parties intend to negotiate and execute definitive documents in good faith. Heads of terms are subject to satisfactory IP due diligence and internal approvals of both parties.</w:t>
      </w:r>
    </w:p>
    <w:p>
      <w:pPr>
        <w:spacing w:before="160"/>
      </w:pPr>
      <w:r>
        <w:rPr>
          <w:i/>
          <w:iCs/>
        </w:rPr>
        <w:t xml:space="preserve">Signed for and on behalf of the parties as a record of their intentions:</w:t>
      </w:r>
    </w:p>
    <w:p>
      <w:pPr>
        <w:spacing w:before="200"/>
      </w:pPr>
      <w:r>
        <w:t xml:space="preserve">Aldridge Biomaterials Limited  ……………………………   Brandt Packaging Solutions GmbH  ……………………………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4"/>
      </w:pBdr>
      <w:spacing w:before="60"/>
      <w:jc w:val="center"/>
    </w:pPr>
    <w:r>
      <w:rPr>
        <w:color w:val="777777"/>
        <w:sz w:val="14"/>
        <w:szCs w:val="14"/>
      </w:rPr>
      <w:t xml:space="preserve">Project Quartz — Term Sheet (Non-binding)   —   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4"/>
        <w:szCs w:val="14"/>
      </w:rPr>
      <w:t xml:space="preserve"> of </w:t>
    </w:r>
    <w:r>
      <w:rPr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b/>
        <w:bCs/>
        <w:color w:val="1F3864"/>
        <w:sz w:val="30"/>
        <w:szCs w:val="30"/>
      </w:rPr>
      <w:t xml:space="preserve">Whitfield Carter LLP</w:t>
    </w:r>
  </w:p>
  <w:p>
    <w:pPr>
      <w:spacing w:after="40"/>
    </w:pPr>
    <w:r>
      <w:rPr>
        <w:color w:val="555555"/>
        <w:sz w:val="15"/>
        <w:szCs w:val="15"/>
      </w:rPr>
      <w:t xml:space="preserve">Solicitors   |   22 Bishopsgate, London EC2N 4BQ   |   www.whitfieldcarter.com</w:t>
    </w:r>
  </w:p>
  <w:p>
    <w:pPr>
      <w:pBdr>
        <w:bottom w:val="single" w:color="1F3864" w:sz="8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Whitfield Carter LLP</dc:creator>
  <cp:lastModifiedBy>Un-named</cp:lastModifiedBy>
  <cp:revision>1</cp:revision>
  <dcterms:created xsi:type="dcterms:W3CDTF">2026-06-29T11:23:05.404Z</dcterms:created>
  <dcterms:modified xsi:type="dcterms:W3CDTF">2026-06-29T11:23:05.404Z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