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b/>
          <w:bCs/>
          <w:sz w:val="26"/>
          <w:szCs w:val="26"/>
        </w:rPr>
        <w:t xml:space="preserve">Whitfield Carter LLP</w:t>
      </w:r>
    </w:p>
    <w:p>
      <w:pPr>
        <w:spacing w:after="0"/>
        <w:jc w:val="right"/>
      </w:pPr>
      <w:r>
        <w:rPr>
          <w:sz w:val="18"/>
          <w:szCs w:val="18"/>
        </w:rPr>
        <w:t xml:space="preserve">22 Bishopsgate, London EC2N 4BQ</w:t>
      </w:r>
    </w:p>
    <w:p>
      <w:pPr>
        <w:spacing w:after="120"/>
        <w:jc w:val="right"/>
      </w:pPr>
      <w:r>
        <w:rPr>
          <w:sz w:val="18"/>
          <w:szCs w:val="18"/>
        </w:rPr>
        <w:t xml:space="preserve">Tel +44 (0)20 7946 0500 | www.whitfieldcarter.com</w:t>
      </w:r>
    </w:p>
    <w:p>
      <w:pPr>
        <w:pBdr>
          <w:bottom w:val="single" w:color="1F3864" w:sz="6" w:space="1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COMPLETION CHECKLIST</w:t>
      </w:r>
    </w:p>
    <w:p>
      <w:pPr>
        <w:spacing w:after="200"/>
        <w:jc w:val="center"/>
      </w:pPr>
      <w:r>
        <w:rPr>
          <w:i/>
          <w:iCs/>
        </w:rPr>
        <w:t xml:space="preserve">Project Quartz — Completion on 13 February 2026</w:t>
      </w:r>
    </w:p>
    <w:p>
      <w:pPr>
        <w:spacing w:after="120"/>
      </w:pPr>
      <w:r>
        <w:t xml:space="preserve">This checklist records the documents and steps required at completion of the acquisition by Ardenfield Quartz Bidco Limited of the entire issued share capital of Whitmore Thermal Components Limited. "WC" = Whitfield Carter (Buyer); "AQ" = Ashworth Quinn (Sellers).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26"/>
        <w:gridCol w:w="16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/ 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Provided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Share Purchase Agreement (executed)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WC / 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Disclosure Letter (executed)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Sellers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Tax Covenant (in SPA Schedule 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Stock transfer forms for the Shares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Sellers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Share certificates / indemnities for lost certificates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Sellers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Board minutes of the Company (transfers, resignations, appointments)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Sellers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Board minutes of the Buyer (approving SPA and funding)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Resignation letters of resigning directors and secretary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Sellers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Statutory registers, certificate of incorporation, seal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Sellers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EMI option exercise notices and waiver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Sellers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W&amp;I insurance policy (incepted) — Aldgate Specialty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Funds flow statement (agreed)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Retention account agreement (joint solicitors)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WC / 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Release of debenture held by Pennine Asset Finance over leased furnace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Sellers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 of Completion Payment (£35,250,000)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 of Retention Amount into Retention Account (£1,500,000)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Buyer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1"/>
      </w:pBdr>
      <w:tabs>
        <w:tab w:val="right" w:pos="9026"/>
      </w:tabs>
    </w:pPr>
    <w:r>
      <w:rPr>
        <w:sz w:val="14"/>
        <w:szCs w:val="14"/>
      </w:rPr>
      <w:t xml:space="preserve">Whitfield Carter LLP — Confidential and may be legally privileged.</w:t>
    </w:r>
    <w:r>
      <w:rPr>
        <w:sz w:val="14"/>
        <w:szCs w:val="14"/>
      </w:rPr>
      <w:t xml:space="preserve">	WC-00191 / Completion Checklist  |  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2026-06-30T00:18:49.506Z</dcterms:created>
  <dcterms:modified xsi:type="dcterms:W3CDTF">2026-06-30T00:18:49.506Z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