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sz w:val="26"/>
          <w:szCs w:val="26"/>
        </w:rPr>
        <w:t xml:space="preserve">Whitfield Carter LLP</w:t>
      </w:r>
    </w:p>
    <w:p>
      <w:pPr>
        <w:spacing w:after="0"/>
        <w:jc w:val="right"/>
      </w:pPr>
      <w:r>
        <w:rPr>
          <w:sz w:val="18"/>
          <w:szCs w:val="18"/>
        </w:rPr>
        <w:t xml:space="preserve">22 Bishopsgate, London EC2N 4BQ</w:t>
      </w:r>
    </w:p>
    <w:p>
      <w:pPr>
        <w:spacing w:after="120"/>
        <w:jc w:val="right"/>
      </w:pPr>
      <w:r>
        <w:rPr>
          <w:sz w:val="18"/>
          <w:szCs w:val="18"/>
        </w:rPr>
        <w:t xml:space="preserve">Tel +44 (0)20 7946 0500 | www.whitfieldcarter.com</w:t>
      </w:r>
    </w:p>
    <w:p>
      <w:pPr>
        <w:pBdr>
          <w:bottom w:val="single" w:color="1F3864" w:sz="6" w:space="1"/>
        </w:pBdr>
        <w:spacing w:after="200"/>
      </w:pPr>
      <w:r>
        <w:t xml:space="preserve"/>
      </w:r>
    </w:p>
    <w:p>
      <w:pPr>
        <w:spacing w:after="120"/>
      </w:pPr>
      <w:r>
        <w:t xml:space="preserve">From: Ashworth Quinn LLP (Sellers' Solicitors), 30 Cannon Street, London EC4M 6XH</w:t>
      </w:r>
    </w:p>
    <w:p>
      <w:pPr>
        <w:spacing w:after="120"/>
      </w:pPr>
      <w:r>
        <w:t xml:space="preserve">To: Whitfield Carter LLP (Buyer's Solicitors), 22 Bishopsgate, London EC2N 4BQ</w:t>
      </w:r>
    </w:p>
    <w:p>
      <w:pPr>
        <w:spacing w:after="120"/>
      </w:pPr>
      <w:r>
        <w:t xml:space="preserve">Dated 13 February 2026</w:t>
      </w:r>
    </w:p>
    <w:p>
      <w:pPr>
        <w:spacing w:after="160"/>
      </w:pPr>
      <w:r>
        <w:rPr>
          <w:b/>
          <w:bCs/>
        </w:rPr>
        <w:t xml:space="preserve">DISCLOSURE LETTER — Project Quartz (Whitmore Thermal Components Limited)</w:t>
      </w:r>
    </w:p>
    <w:p>
      <w:pPr>
        <w:spacing w:after="120"/>
      </w:pPr>
      <w:r>
        <w:t xml:space="preserve">Dear Sirs</w:t>
      </w:r>
    </w:p>
    <w:p>
      <w:pPr>
        <w:spacing w:after="120"/>
      </w:pPr>
      <w:r>
        <w:t xml:space="preserve">We refer to the share purchase agreement of even date (the "Agreement") relating to the entire issued share capital of Whitmore Thermal Components Limited (the "Company"). Terms defined in the Agreement have the same meaning in this letter. This letter is the Disclosure Letter referred to in the Agreement and is delivered on behalf of the Sellers.</w:t>
      </w:r>
    </w:p>
    <w:p>
      <w:pPr>
        <w:pStyle w:val="Heading2"/>
      </w:pPr>
      <w:r>
        <w:t xml:space="preserve">1. General disclosures</w:t>
      </w:r>
    </w:p>
    <w:p>
      <w:pPr>
        <w:spacing w:after="120"/>
      </w:pPr>
      <w:r>
        <w:t xml:space="preserve">The Buyer is deemed to have knowledge of, and the Warranties are qualified by, all matters which would be revealed by: (a) the documents in the data room (the index of which is attached as Appendix 1); (b) the public records of the Company at Companies House and the UK Intellectual Property Office; and (c) the entries on the registers maintained at HM Land Registry in respect of the Company's leasehold property.</w:t>
      </w:r>
    </w:p>
    <w:p>
      <w:pPr>
        <w:pStyle w:val="Heading2"/>
      </w:pPr>
      <w:r>
        <w:t xml:space="preserve">2. Specific disclosures</w:t>
      </w:r>
    </w:p>
    <w:p>
      <w:pPr>
        <w:spacing w:after="120"/>
      </w:pPr>
      <w:r>
        <w:t xml:space="preserve">The following matters are disclosed against the Warranties identified. Reference to a Warranty paragraph is to the corresponding paragraph of Schedule 4 to the Agreement.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Warranty</w:t>
            </w:r>
          </w:p>
        </w:tc>
        <w:tc>
          <w:tcPr>
            <w:tcW w:type="dxa" w:w="60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Disclosure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Accounts / Management Accounts (Sch 4 Pt 2 ¶1–2)</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The Management Accounts for the period to 31 December 2025 reflect a one-off provision of £142,000 in respect of the warranty rework on the contract with Caldera Mobility Systems plc (see data room 4.3.2). This provision is not reflected in the Accounts to the Accounts Date.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Material contracts (Sch 4 Pt 2 ¶8)</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The supply agreement with Northstar Cell Technologies plc contains a change-of-control provision entitling Northstar to terminate on 30 days' notice on a change of control of the Company (data room 5.1.4). A consent request was sent to Northstar on 28 January 2026; consent remains outstanding at the date of this letter.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Litigation (Sch 4 Pt 2 ¶5)</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A former employee, T. Hargreaves, has intimated (but not issued) a claim for unfair dismissal. The Company's exposure is estimated by the Sellers at no more than £18,000. Correspondence is at data room 6.2.1.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Intellectual property (Sch 4 Pt 2 ¶7)</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Patent application GB2419887.6 (micro-channel cold-plate, second generation) is pending and not yet granted. The granted family (GB2388114, EP3142998, US10,945,332) is in force and registered in the Company's name (data room 3.1).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Plant and machinery (Sch 4 Pt 2 ¶4)</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The vacuum brazing furnace at the Sheffield site is subject to a finance lease with Pennine Asset Finance Limited with £214,000 outstanding; this is included in Net Debt for the purposes of the Completion Accounts (data room 4.5).</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Tax (Sch 4 Pt 2 ¶10)</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The Company has claimed R&amp;D tax relief for the years ended 30 September 2023 and 2024. An HMRC enquiry into the 2023 claim was opened on 4 November 2025 and remains open (data room 7.3); the maximum additional liability is estimated at £61,000 and is the subject of the Tax Covenant.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8"/>
                <w:szCs w:val="18"/>
              </w:rPr>
              <w:t xml:space="preserve">Employment (Sch 4 Pt 2 ¶9)</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Eight employees hold EMI options which will be exercised conditional on Completion; the resulting shares form part of the Shares sold (Schedule 1). The option scheme rules are at data room 6.1.</w:t>
            </w:r>
          </w:p>
        </w:tc>
      </w:tr>
    </w:tbl>
    <w:p>
      <w:pPr>
        <w:spacing w:before="200"/>
      </w:pPr>
      <w:r>
        <w:t xml:space="preserve">Yours faithfully</w:t>
      </w:r>
    </w:p>
    <w:p>
      <w:pPr>
        <w:spacing w:after="120"/>
      </w:pPr>
      <w:r>
        <w:t xml:space="preserve">Ashworth Quinn LLP, for and on behalf of the Sellers</w:t>
      </w:r>
    </w:p>
    <w:p>
      <w:pPr>
        <w:spacing w:after="120"/>
      </w:pPr>
      <w:r>
        <w:t xml:space="preserve">Appendix 1: Data room index (see separate index spreadsheet).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tabs>
        <w:tab w:val="right" w:pos="9026"/>
      </w:tabs>
    </w:pPr>
    <w:r>
      <w:rPr>
        <w:sz w:val="14"/>
        <w:szCs w:val="14"/>
      </w:rPr>
      <w:t xml:space="preserve">Whitfield Carter LLP — Confidential and may be legally privileged.</w:t>
    </w:r>
    <w:r>
      <w:rPr>
        <w:sz w:val="14"/>
        <w:szCs w:val="14"/>
      </w:rPr>
      <w:t xml:space="preserve">	WC-00191 / Disclosure Letter  |  Page </w:t>
    </w:r>
    <w:r>
      <w:rPr>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2026-06-30T00:18:49.492Z</dcterms:created>
  <dcterms:modified xsi:type="dcterms:W3CDTF">2026-06-30T00:18:49.492Z</dcterms:modified>
</cp:coreProperties>
</file>

<file path=docProps/custom.xml><?xml version="1.0" encoding="utf-8"?>
<Properties xmlns="http://schemas.openxmlformats.org/officeDocument/2006/custom-properties" xmlns:vt="http://schemas.openxmlformats.org/officeDocument/2006/docPropsVTypes"/>
</file>