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120"/>
        <w:jc w:val="right"/>
      </w:pPr>
      <w:r>
        <w:rPr>
          <w:sz w:val="18"/>
          <w:szCs w:val="18"/>
        </w:rPr>
        <w:t xml:space="preserve">Tel +44 (0)20 7946 0500 | www.whitfieldcarter.com</w:t>
      </w:r>
    </w:p>
    <w:p>
      <w:pPr>
        <w:pBdr>
          <w:bottom w:val="single" w:color="1F3864" w:sz="6" w:space="1"/>
        </w:pBdr>
        <w:spacing w:after="200"/>
      </w:pPr>
      <w:r>
        <w:t xml:space="preserve"/>
      </w:r>
    </w:p>
    <w:p>
      <w:pPr>
        <w:spacing w:after="80"/>
        <w:jc w:val="center"/>
      </w:pPr>
      <w:r>
        <w:rPr>
          <w:b/>
          <w:bCs/>
          <w:sz w:val="26"/>
          <w:szCs w:val="26"/>
        </w:rPr>
        <w:t xml:space="preserve">HEADS OF TERMS</w:t>
      </w:r>
    </w:p>
    <w:p>
      <w:pPr>
        <w:spacing w:after="40"/>
        <w:jc w:val="center"/>
      </w:pPr>
      <w:r>
        <w:rPr>
          <w:i/>
          <w:iCs/>
        </w:rPr>
        <w:t xml:space="preserve">Project Quartz — Proposed acquisition of Whitmore Thermal Components Limited</w:t>
      </w:r>
    </w:p>
    <w:p>
      <w:pPr>
        <w:spacing w:after="240"/>
        <w:jc w:val="center"/>
      </w:pPr>
      <w:r>
        <w:rPr>
          <w:b/>
          <w:bCs/>
          <w:sz w:val="18"/>
          <w:szCs w:val="18"/>
        </w:rPr>
        <w:t xml:space="preserve">Subject to contract — not legally binding (save clauses 9–11)</w:t>
      </w:r>
    </w:p>
    <w:p>
      <w:pPr>
        <w:spacing w:after="120"/>
      </w:pPr>
      <w:r>
        <w:t xml:space="preserve">Dated 6 November 2025</w:t>
      </w:r>
    </w:p>
    <w:p>
      <w:pPr>
        <w:spacing w:after="120"/>
      </w:pPr>
      <w:r>
        <w:t xml:space="preserve">These heads of terms record the principal terms on which Ardenfield Capital Partners LLP ("Ardenfield"), through a newly-incorporated acquisition vehicle, proposes to acquire the entire issued share capital of Whitmore Thermal Components Limited (the "Company"). Save for clauses 9 to 11 (which are binding), these heads of terms are not intended to create legally binding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1. Buyer</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Ardenfield Quartz Bidco Limited (in incorporation), a wholly-owned acquisition vehicle of funds managed or advised by Ardenfield Capital Partners LLP.</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2. Sellers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Geoffrey Whitmore and the other holders of the entire issued share capital of the Company, together with the EMI option holders (whose options will be exercised and the resulting shares sold at completion).</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3. Transaction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Acquisition of 100% of the issued share capital of the Company on a cash-free, debt-free basis assuming a normalised level of working capital.</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4. Enterprise value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£42,500,000 (forty-two million five hundred thousand pounds) on a cash-free, debt-free basis.</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5. Equity value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Enterprise value less estimated net debt of £3,750,000, giving an indicative equity value of £38,750,000, subject to completion-accounts adjustment for actual net debt and a normalised working capital target.</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6. Consideration structure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 the equity value: (i) £35,250,000 payable in cash at completion; (ii) £1,500,000 retained in a joint retention account for 12 months against warranty and completion-accounts claims; and (iii) £2,000,000 of deferred consideration payable on the first anniversary of completion subject to no outstanding warranty claims.</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7. Conditions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Completion conditional on: (a) satisfactory legal, financial and tax due diligence; (b) Ardenfield investment-committee approval; (c) execution of the SPA, disclosure letter and ancillary documents; and (d) the warranty &amp; indemnity insurance policy being in place.</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8. Warranties / W&amp;I</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Customary business warranties and a tax covenant from the Sellers, with recourse principally to a buy-side warranty &amp; indemnity insurance policy. Sellers' aggregate liability for warranty claims (other than fundamental warranties and the tax covenant) to be capped as agreed in the SPA.</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9. Exclusivity (binding)</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Sellers grant Ardenfield exclusivity until the earlier of (i) 31 March 2026 and (ii) written termination of discussions, during which they shall not solicit, negotiate or enter into discussions with any other party regarding a sale of the Company.</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10. Costs (binding)</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party bears its own costs, save that the Sellers shall reimburse Ardenfield's reasonable abort costs (capped at £75,000) if the Sellers withdraw in breach of clause 9.</w:t>
            </w:r>
          </w:p>
        </w:tc>
      </w:tr>
      <w:tr>
        <w:tc>
          <w:tcPr>
            <w:tcW w:type="dxa" w:w="27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b/>
                <w:bCs/>
                <w:sz w:val="20"/>
                <w:szCs w:val="20"/>
              </w:rPr>
              <w:t xml:space="preserve">11. Confidentiality &amp; governing law (binding)</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mutual NDA dated 9 October 2025 continues to apply. These heads of terms are governed by English law.</w:t>
            </w:r>
          </w:p>
        </w:tc>
      </w:tr>
    </w:tbl>
    <w:p>
      <w:pPr>
        <w:spacing w:before="240"/>
      </w:pPr>
      <w:r>
        <w:rPr>
          <w:i/>
          <w:iCs/>
        </w:rPr>
        <w:t xml:space="preserve">Signed for and on behalf of the parties:</w:t>
      </w:r>
    </w:p>
    <w:p>
      <w:pPr>
        <w:pBdr>
          <w:bottom w:val="single" w:color="000000" w:sz="4" w:space="1"/>
        </w:pBdr>
        <w:spacing w:after="0" w:before="200"/>
      </w:pPr>
      <w:r>
        <w:t xml:space="preserve"/>
      </w:r>
    </w:p>
    <w:p>
      <w:pPr>
        <w:spacing w:after="0"/>
      </w:pPr>
      <w:r>
        <w:rPr>
          <w:sz w:val="20"/>
          <w:szCs w:val="20"/>
        </w:rPr>
        <w:t xml:space="preserve">Ardenfield Capital Partners LLP</w:t>
      </w:r>
    </w:p>
    <w:p>
      <w:pPr>
        <w:spacing w:after="0"/>
      </w:pPr>
      <w:r>
        <w:rPr>
          <w:sz w:val="20"/>
          <w:szCs w:val="20"/>
        </w:rPr>
        <w:t xml:space="preserve">Name: Eleanor Whitmore  —  Partner</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For the Sellers</w:t>
      </w:r>
    </w:p>
    <w:p>
      <w:pPr>
        <w:spacing w:after="0"/>
      </w:pPr>
      <w:r>
        <w:rPr>
          <w:sz w:val="20"/>
          <w:szCs w:val="20"/>
        </w:rPr>
        <w:t xml:space="preserve">Name: Geoffrey Whitmore  —  Director / Principal Seller</w:t>
      </w:r>
    </w:p>
    <w:p>
      <w:pPr>
        <w:spacing w:after="12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pPr>
    <w:r>
      <w:rPr>
        <w:sz w:val="14"/>
        <w:szCs w:val="14"/>
      </w:rPr>
      <w:t xml:space="preserve">Whitfield Carter LLP — Confidential and may be legally privileged.</w:t>
    </w:r>
    <w:r>
      <w:rPr>
        <w:sz w:val="14"/>
        <w:szCs w:val="14"/>
      </w:rPr>
      <w:t xml:space="preserve">	WC-00191 / HoT  |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2026-06-30T00:18:49.391Z</dcterms:created>
  <dcterms:modified xsi:type="dcterms:W3CDTF">2026-06-30T00:18:49.391Z</dcterms:modified>
</cp:coreProperties>
</file>

<file path=docProps/custom.xml><?xml version="1.0" encoding="utf-8"?>
<Properties xmlns="http://schemas.openxmlformats.org/officeDocument/2006/custom-properties" xmlns:vt="http://schemas.openxmlformats.org/officeDocument/2006/docPropsVTypes"/>
</file>