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6"/>
          <w:szCs w:val="26"/>
        </w:rPr>
        <w:t xml:space="preserve">DISCLOSURE LETTER</w:t>
      </w:r>
    </w:p>
    <w:p>
      <w:pPr>
        <w:spacing w:after="120"/>
        <w:jc w:val="center"/>
      </w:pPr>
      <w:r>
        <w:rPr>
          <w:i/>
          <w:iCs/>
        </w:rPr>
        <w:t xml:space="preserve">Project Quartz - QX-Clock Patent and Know-How Licence</w:t>
      </w:r>
    </w:p>
    <w:p>
      <w:pPr>
        <w:spacing w:after="120"/>
      </w:pPr>
      <w:r>
        <w:t xml:space="preserve">Dated 22 January 2026</w:t>
      </w:r>
    </w:p>
    <w:p>
      <w:pPr>
        <w:spacing w:after="120"/>
      </w:pPr>
      <w:r>
        <w:t xml:space="preserve">From: Arkwright Quantum Limited</w:t>
      </w:r>
    </w:p>
    <w:p>
      <w:pPr>
        <w:spacing w:after="120"/>
      </w:pPr>
      <w:r>
        <w:t xml:space="preserve">To: Caldera Defence Systems Limited</w:t>
      </w:r>
    </w:p>
    <w:p>
      <w:pPr>
        <w:spacing w:after="120"/>
      </w:pPr>
      <w:r>
        <w:rPr>
          <w:b/>
          <w:bCs/>
        </w:rPr>
        <w:t xml:space="preserve">Dear Sirs</w:t>
      </w:r>
    </w:p>
    <w:p>
      <w:pPr>
        <w:spacing w:after="120"/>
      </w:pPr>
      <w:r>
        <w:rPr>
          <w:b/>
          <w:bCs/>
        </w:rPr>
        <w:t xml:space="preserve">Patent and Know-How Licence Agreement relating to the QX-Clock Patent Family (the Licence)</w:t>
      </w:r>
    </w:p>
    <w:p>
      <w:pPr>
        <w:spacing w:after="120"/>
      </w:pPr>
      <w:r>
        <w:t xml:space="preserve">This is the Disclosure Letter referred to in the Licence of even date between us. Words and expressions defined in the Licence have the same meaning in this letter. We are delivering this letter to you for the purpose of qualifying the Warranties in clause 6 of the Licence. The Warranties are given subject to the matters fairly disclosed in this letter and its appendices.</w:t>
      </w:r>
    </w:p>
    <w:p>
      <w:pPr>
        <w:pStyle w:val="Heading1"/>
      </w:pPr>
      <w:r>
        <w:t xml:space="preserve">1.  General disclosures</w:t>
      </w:r>
    </w:p>
    <w:p>
      <w:pPr>
        <w:spacing w:after="120"/>
      </w:pPr>
      <w:r>
        <w:t xml:space="preserve">The following matters are disclosed against the Warranties generally, whether or not specifically referred to in the specific disclosures below:</w:t>
      </w:r>
    </w:p>
    <w:p>
      <w:pPr>
        <w:pStyle w:val="ListParagraph"/>
        <w:numPr>
          <w:ilvl w:val="0"/>
          <w:numId w:val="2"/>
        </w:numPr>
        <w:spacing w:after="60"/>
      </w:pPr>
      <w:r>
        <w:t xml:space="preserve">all matters apparent from the registers of the UK Intellectual Property Office, the EPO, the USPTO and the JPO in respect of the Licensed Patents;</w:t>
      </w:r>
    </w:p>
    <w:p>
      <w:pPr>
        <w:pStyle w:val="ListParagraph"/>
        <w:numPr>
          <w:ilvl w:val="0"/>
          <w:numId w:val="2"/>
        </w:numPr>
        <w:spacing w:after="60"/>
      </w:pPr>
      <w:r>
        <w:t xml:space="preserve">all matters disclosed or referred to in the IP Due Diligence Report prepared by Whitfield Carter LLP dated 14 October 2025;</w:t>
      </w:r>
    </w:p>
    <w:p>
      <w:pPr>
        <w:pStyle w:val="ListParagraph"/>
        <w:numPr>
          <w:ilvl w:val="0"/>
          <w:numId w:val="2"/>
        </w:numPr>
        <w:spacing w:after="60"/>
      </w:pPr>
      <w:r>
        <w:t xml:space="preserve">all matters which would be revealed by a search of the public records maintained at Companies House in respect of the Licensor.</w:t>
      </w:r>
    </w:p>
    <w:p>
      <w:pPr>
        <w:pStyle w:val="Heading1"/>
      </w:pPr>
      <w:r>
        <w:t xml:space="preserve">2.  Specific disclosures</w:t>
      </w:r>
    </w:p>
    <w:p>
      <w:pPr>
        <w:spacing w:after="120"/>
      </w:pPr>
      <w:r>
        <w:t xml:space="preserve">The following specific matters are disclosed against the Warranties indicated:</w:t>
      </w:r>
    </w:p>
    <w:p>
      <w:pPr>
        <w:pStyle w:val="Heading2"/>
      </w:pPr>
      <w:r>
        <w:t xml:space="preserve">2.1  Warranty 6.1(b) - subsistence and validity</w:t>
      </w:r>
    </w:p>
    <w:p>
      <w:pPr>
        <w:spacing w:after="120"/>
      </w:pPr>
      <w:r>
        <w:t xml:space="preserve">Disclosed: Patent QX-4 (Japan, JP2023-501882A) is a pending application under examination and is not granted. An office action is outstanding with a response due by 28 February 2026. Patent QX-5 (EP4118765A1) is published but pending and examination has not yet been requested in full.</w:t>
      </w:r>
    </w:p>
    <w:p>
      <w:pPr>
        <w:pStyle w:val="Heading2"/>
      </w:pPr>
      <w:r>
        <w:t xml:space="preserve">2.2  Warranty 6.1(c) - no prior licences in the Field</w:t>
      </w:r>
    </w:p>
    <w:p>
      <w:pPr>
        <w:spacing w:after="120"/>
      </w:pPr>
      <w:r>
        <w:t xml:space="preserve">Disclosed: the non-exclusive research licence of patent QX-2 granted to Meridian Diagnostics GmbH dated 3 March 2021 (the Permitted Encumbrance). That licence is limited to non-defence metrology research use only and does not extend to the Field of Use. A copy is at Appendix 1.</w:t>
      </w:r>
    </w:p>
    <w:p>
      <w:pPr>
        <w:pStyle w:val="Heading2"/>
      </w:pPr>
      <w:r>
        <w:t xml:space="preserve">2.3  Warranty 6.1(a) - ownership and security</w:t>
      </w:r>
    </w:p>
    <w:p>
      <w:pPr>
        <w:spacing w:after="120"/>
      </w:pPr>
      <w:r>
        <w:t xml:space="preserve">Disclosed: the Licensor has granted a debenture in favour of Clydesford Bank plc dated 11 May 2023, which includes a floating charge over the Licensor's assets. The debenture does not create a fixed charge over the registered Licensed Patents, and the bank has confirmed it has no objection to the grant of the Licence. A copy of the bank's confirmation is at Appendix 2.</w:t>
      </w:r>
    </w:p>
    <w:p>
      <w:pPr>
        <w:pStyle w:val="Heading2"/>
      </w:pPr>
      <w:r>
        <w:t xml:space="preserve">2.4  Warranty 6.1(d) - non-infringement</w:t>
      </w:r>
    </w:p>
    <w:p>
      <w:pPr>
        <w:spacing w:after="120"/>
      </w:pPr>
      <w:r>
        <w:t xml:space="preserve">Disclosed: the freedom-to-operate opinion prepared by Hartington IP dated 9 December 2025 identifies one third-party European patent (held by an unrelated vapour-cell supplier) of potential relevance to QX-2; Hartington IP's opinion is that the Licensed Products do not infringe that patent. A copy of the opinion is at Appendix 3.</w:t>
      </w:r>
    </w:p>
    <w:p>
      <w:pPr>
        <w:pStyle w:val="Heading1"/>
      </w:pPr>
      <w:r>
        <w:t xml:space="preserve">3.  Appendices</w:t>
      </w:r>
    </w:p>
    <w:p>
      <w:pPr>
        <w:pStyle w:val="ListParagraph"/>
        <w:numPr>
          <w:ilvl w:val="0"/>
          <w:numId w:val="2"/>
        </w:numPr>
        <w:spacing w:after="60"/>
      </w:pPr>
      <w:r>
        <w:t xml:space="preserve">Appendix 1 - Meridian Diagnostics GmbH research licence (3 March 2021).</w:t>
      </w:r>
    </w:p>
    <w:p>
      <w:pPr>
        <w:pStyle w:val="ListParagraph"/>
        <w:numPr>
          <w:ilvl w:val="0"/>
          <w:numId w:val="2"/>
        </w:numPr>
        <w:spacing w:after="60"/>
      </w:pPr>
      <w:r>
        <w:t xml:space="preserve">Appendix 2 - Clydesford Bank plc confirmation of no objection.</w:t>
      </w:r>
    </w:p>
    <w:p>
      <w:pPr>
        <w:pStyle w:val="ListParagraph"/>
        <w:numPr>
          <w:ilvl w:val="0"/>
          <w:numId w:val="2"/>
        </w:numPr>
        <w:spacing w:after="60"/>
      </w:pPr>
      <w:r>
        <w:t xml:space="preserve">Appendix 3 - Hartington IP freedom-to-operate opinion (9 December 2025).</w:t>
      </w:r>
    </w:p>
    <w:p>
      <w:pPr>
        <w:spacing w:after="120"/>
      </w:pPr>
      <w:r>
        <w:t xml:space="preserve">This letter is governed by the law of England and Wales.</w:t>
      </w:r>
    </w:p>
    <w:p>
      <w:pPr>
        <w:spacing w:after="120"/>
      </w:pPr>
      <w:r>
        <w:t xml:space="preserve">Yours faithfully</w:t>
      </w:r>
    </w:p>
    <w:p>
      <w:pPr>
        <w:spacing w:after="120"/>
      </w:pPr>
      <w:r>
        <w:rPr>
          <w:b/>
          <w:bCs/>
        </w:rPr>
        <w:t xml:space="preserve">For and on behalf of Arkwright Quantum Limited</w:t>
      </w:r>
    </w:p>
    <w:p>
      <w:pPr>
        <w:spacing w:after="120"/>
      </w:pPr>
      <w:r>
        <w:t xml:space="preserve">Acknowledged and accepted by Caldera Defence Systems Limited: 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6"/>
        <w:szCs w:val="26"/>
      </w:rPr>
      <w:t xml:space="preserve">Whitfield Carter LLP</w:t>
    </w:r>
  </w:p>
  <w:p>
    <w:pPr>
      <w:pBdr>
        <w:bottom w:val="single" w:color="1F3864" w:sz="6" w:space="4"/>
      </w:pBdr>
      <w:spacing w:after="200"/>
    </w:pPr>
    <w:r>
      <w:rPr>
        <w:color w:val="595959"/>
        <w:sz w:val="16"/>
        <w:szCs w:val="16"/>
      </w:rPr>
      <w:t xml:space="preserve">22 Bishopsgate, London EC2N 4BQ  •  www.whitfieldcarter.com  •  +44 (0)20 7946 1200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lvl w:ilvl="1" w15:tentative="1">
      <w:start w:val="1"/>
      <w:numFmt w:val="decimal"/>
      <w:lvlText w:val="%1.%2"/>
      <w:lvlJc w:val="left"/>
      <w:pPr>
        <w:ind w:left="560" w:hanging="560"/>
      </w:pPr>
    </w:lvl>
    <w:lvl w:ilvl="2" w15:tentative="1">
      <w:start w:val="1"/>
      <w:numFmt w:val="lowerLetter"/>
      <w:lvlText w:val="(%3)"/>
      <w:lvlJc w:val="left"/>
      <w:pPr>
        <w:ind w:left="1120" w:hanging="4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2026-06-30T21:49:36.355Z</dcterms:created>
  <dcterms:modified xsi:type="dcterms:W3CDTF">2026-06-30T21:49:36.355Z</dcterms:modified>
</cp:coreProperties>
</file>

<file path=docProps/custom.xml><?xml version="1.0" encoding="utf-8"?>
<Properties xmlns="http://schemas.openxmlformats.org/officeDocument/2006/custom-properties" xmlns:vt="http://schemas.openxmlformats.org/officeDocument/2006/docPropsVTypes"/>
</file>