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18"/>
          <w:szCs w:val="18"/>
        </w:rPr>
        <w:t xml:space="preserve">Strictly private and confidential</w:t>
      </w:r>
    </w:p>
    <w:p>
      <w:pPr>
        <w:spacing w:after="120"/>
      </w:pPr>
      <w:r>
        <w:t xml:space="preserve">8 September 2025</w:t>
      </w:r>
    </w:p>
    <w:p>
      <w:pPr>
        <w:spacing w:after="120"/>
      </w:pPr>
      <w:r>
        <w:t xml:space="preserve">Dr Eleanor Frost</w:t>
      </w:r>
    </w:p>
    <w:p>
      <w:pPr>
        <w:spacing w:after="120"/>
      </w:pPr>
      <w:r>
        <w:t xml:space="preserve">Chief Executive Officer</w:t>
      </w:r>
    </w:p>
    <w:p>
      <w:pPr>
        <w:spacing w:after="120"/>
      </w:pPr>
      <w:r>
        <w:t xml:space="preserve">Arkwright Quantum Limited</w:t>
      </w:r>
    </w:p>
    <w:p>
      <w:pPr>
        <w:spacing w:after="120"/>
      </w:pPr>
      <w:r>
        <w:t xml:space="preserve">Quantum House, Cambridge Science Park, Cambridge CB4 0WS</w:t>
      </w:r>
    </w:p>
    <w:p>
      <w:pPr>
        <w:spacing w:after="120"/>
      </w:pPr>
      <w:r>
        <w:t xml:space="preserve"/>
      </w:r>
    </w:p>
    <w:p>
      <w:pPr>
        <w:spacing w:after="120"/>
      </w:pPr>
      <w:r>
        <w:rPr>
          <w:b/>
          <w:bCs/>
        </w:rPr>
        <w:t xml:space="preserve">Dear Eleanor</w:t>
      </w:r>
    </w:p>
    <w:p>
      <w:pPr>
        <w:spacing w:after="120"/>
      </w:pPr>
      <w:r>
        <w:rPr>
          <w:b/>
          <w:bCs/>
        </w:rPr>
        <w:t xml:space="preserve">Project Quartz - licensing of the QX-Clock patent family to Caldera Defence Systems Limited</w:t>
      </w:r>
    </w:p>
    <w:p>
      <w:pPr>
        <w:spacing w:after="120"/>
      </w:pPr>
      <w:r>
        <w:t xml:space="preserve">Thank you for instructing Whitfield Carter LLP in connection with the proposed exclusive licence of Arkwright Quantum's chip-scale atomic clock and quantum RF sensing technology (the QX-Clock Patent Family and associated know-how) to Caldera Defence Systems Limited for defence and aerospace navigation and timing applications. This letter, together with our enclosed standard terms of business, sets out the basis on which we will act.</w:t>
      </w:r>
    </w:p>
    <w:p>
      <w:pPr>
        <w:pStyle w:val="Heading2"/>
      </w:pPr>
      <w:r>
        <w:t xml:space="preserve">1.  Scope of our engagement</w:t>
      </w:r>
    </w:p>
    <w:p>
      <w:pPr>
        <w:spacing w:after="120"/>
      </w:pPr>
      <w:r>
        <w:t xml:space="preserve">We will advise Arkwright Quantum Limited (you or the Company) on the structuring, drafting and negotiation of a long-form patent and know-how licence agreement, together with the ancillary documents required to implement the transaction, namely a mutual non-disclosure agreement, a term sheet, an intellectual property due diligence review of the licensed family, board approvals and the completion and signature arrangements. Our scope does not extend to patent prosecution (which remains with your patent attorneys, Hartington IP) or to any tax structuring beyond high-level English law observations.</w:t>
      </w:r>
    </w:p>
    <w:p>
      <w:pPr>
        <w:pStyle w:val="Heading2"/>
      </w:pPr>
      <w:r>
        <w:t xml:space="preserve">2.  Team and supervision</w:t>
      </w:r>
    </w:p>
    <w:p>
      <w:pPr>
        <w:spacing w:after="120"/>
      </w:pPr>
      <w:r>
        <w:t xml:space="preserve">The matter will be led by Sarah Whitfield (Partner), supported by Elena Marchetti (Associate). Sarah will retain overall conduct of and responsibility for the matter. Where appropriate we will use more junior fee earners or paralegals for discrete tasks to manage cost.</w:t>
      </w:r>
    </w:p>
    <w:p>
      <w:pPr>
        <w:pStyle w:val="Heading2"/>
      </w:pPr>
      <w:r>
        <w:t xml:space="preserve">3.  Fees and estimate</w:t>
      </w:r>
    </w:p>
    <w:p>
      <w:pPr>
        <w:spacing w:after="120"/>
      </w:pPr>
      <w:r>
        <w:t xml:space="preserve">Our charges are based on the time spent at the hourly rates of the individuals concerned (currently 760 pounds per hour for Sarah Whitfield and 395 pounds per hour for Elena Marchetti, exclusive of VAT). Based on the scope above, our current estimate for taking the matter to signing of the licence is in the range of 75,000 to 95,000 pounds plus VAT and disbursements. We will update this estimate if the scope or the level of negotiation changes materially.</w:t>
      </w:r>
    </w:p>
    <w:p>
      <w:pPr>
        <w:pStyle w:val="Heading2"/>
      </w:pPr>
      <w:r>
        <w:t xml:space="preserve">4.  Confidentiality and conflicts</w:t>
      </w:r>
    </w:p>
    <w:p>
      <w:pPr>
        <w:spacing w:after="120"/>
      </w:pPr>
      <w:r>
        <w:t xml:space="preserve">We have carried out a conflicts check and are not aware of any conflict preventing us from acting. We understand that the opposing party, Caldera Defence Systems Limited, is advised by Birchall Stone LLP. All information you provide will be held in confidence in accordance with our professional obligations.</w:t>
      </w:r>
    </w:p>
    <w:p>
      <w:pPr>
        <w:spacing w:after="120"/>
      </w:pPr>
      <w:r>
        <w:t xml:space="preserve">Please countersign and return the enclosed copy of this letter to confirm your agreement to our terms.</w:t>
      </w:r>
    </w:p>
    <w:p>
      <w:pPr>
        <w:spacing w:after="120"/>
      </w:pPr>
      <w:r>
        <w:t xml:space="preserve"/>
      </w:r>
    </w:p>
    <w:p>
      <w:pPr>
        <w:spacing w:after="120"/>
      </w:pPr>
      <w:r>
        <w:t xml:space="preserve">Yours sincerely</w:t>
      </w:r>
    </w:p>
    <w:p>
      <w:pPr>
        <w:spacing w:after="120"/>
      </w:pPr>
      <w:r>
        <w:t xml:space="preserve"/>
      </w:r>
    </w:p>
    <w:p>
      <w:pPr>
        <w:spacing w:after="120"/>
      </w:pPr>
      <w:r>
        <w:rPr>
          <w:b/>
          <w:bCs/>
        </w:rPr>
        <w:t xml:space="preserve">Sarah Whitfield</w:t>
      </w:r>
    </w:p>
    <w:p>
      <w:pPr>
        <w:spacing w:after="120"/>
      </w:pPr>
      <w:r>
        <w:t xml:space="preserve">Partner, Whitfield Carter LLP</w:t>
      </w:r>
    </w:p>
    <w:p>
      <w:pPr>
        <w:spacing w:after="120"/>
      </w:pPr>
      <w:r>
        <w:t xml:space="preserve">sarah.whitfield@whitfieldcarter.com  |  +44 (0)20 7946 1212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Whitfield Carter LLP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6"/>
        <w:szCs w:val="26"/>
      </w:rPr>
      <w:t xml:space="preserve">Whitfield Carter LLP</w:t>
    </w:r>
  </w:p>
  <w:p>
    <w:pPr>
      <w:pBdr>
        <w:bottom w:val="single" w:color="1F3864" w:sz="6" w:space="4"/>
      </w:pBdr>
      <w:spacing w:after="200"/>
    </w:pPr>
    <w:r>
      <w:rPr>
        <w:color w:val="595959"/>
        <w:sz w:val="16"/>
        <w:szCs w:val="16"/>
      </w:rPr>
      <w:t xml:space="preserve">22 Bishopsgate, London EC2N 4BQ  •  www.whitfieldcarter.com  •  +44 (0)20 7946 1200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lvl w:ilvl="1" w15:tentative="1">
      <w:start w:val="1"/>
      <w:numFmt w:val="decimal"/>
      <w:lvlText w:val="%1.%2"/>
      <w:lvlJc w:val="left"/>
      <w:pPr>
        <w:ind w:left="560" w:hanging="560"/>
      </w:pPr>
    </w:lvl>
    <w:lvl w:ilvl="2" w15:tentative="1">
      <w:start w:val="1"/>
      <w:numFmt w:val="lowerLetter"/>
      <w:lvlText w:val="(%3)"/>
      <w:lvlJc w:val="left"/>
      <w:pPr>
        <w:ind w:left="1120" w:hanging="4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2026-06-30T21:48:19.267Z</dcterms:created>
  <dcterms:modified xsi:type="dcterms:W3CDTF">2026-06-30T21:48:19.267Z</dcterms:modified>
</cp:coreProperties>
</file>

<file path=docProps/custom.xml><?xml version="1.0" encoding="utf-8"?>
<Properties xmlns="http://schemas.openxmlformats.org/officeDocument/2006/custom-properties" xmlns:vt="http://schemas.openxmlformats.org/officeDocument/2006/docPropsVTypes"/>
</file>