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6"/>
          <w:szCs w:val="26"/>
        </w:rPr>
        <w:t xml:space="preserve">MUTUAL NON-DISCLOSURE AGREEMENT</w:t>
      </w:r>
    </w:p>
    <w:p>
      <w:pPr>
        <w:spacing w:after="120"/>
        <w:jc w:val="center"/>
      </w:pPr>
      <w:r>
        <w:rPr>
          <w:i/>
          <w:iCs/>
        </w:rPr>
        <w:t xml:space="preserve">Project Quartz</w:t>
      </w:r>
    </w:p>
    <w:p>
      <w:pPr>
        <w:spacing w:after="120"/>
      </w:pPr>
      <w:r>
        <w:t xml:space="preserve">This Mutual Non-Disclosure Agreement is dated 15 September 2025 and made between:</w:t>
      </w:r>
    </w:p>
    <w:p>
      <w:pPr>
        <w:pStyle w:val="ListParagraph"/>
        <w:numPr>
          <w:ilvl w:val="0"/>
          <w:numId w:val="2"/>
        </w:numPr>
        <w:spacing w:after="100"/>
      </w:pPr>
      <w:r>
        <w:t xml:space="preserve">Arkwright Quantum Limited, a company incorporated in England and Wales (registered office Quantum House, Cambridge Science Park, Cambridge CB4 0WS) (Arkwright); and</w:t>
      </w:r>
    </w:p>
    <w:p>
      <w:pPr>
        <w:pStyle w:val="ListParagraph"/>
        <w:numPr>
          <w:ilvl w:val="0"/>
          <w:numId w:val="2"/>
        </w:numPr>
        <w:spacing w:after="100"/>
      </w:pPr>
      <w:r>
        <w:t xml:space="preserve">Caldera Defence Systems Limited, a company incorporated in England and Wales (registered number 07712204, registered office Gunnels Wood Road, Stevenage SG1 2AS) (Caldera),</w:t>
      </w:r>
    </w:p>
    <w:p>
      <w:pPr>
        <w:spacing w:after="120"/>
      </w:pPr>
      <w:r>
        <w:t xml:space="preserve">each a Party and together the Parties.</w:t>
      </w:r>
    </w:p>
    <w:p>
      <w:pPr>
        <w:pStyle w:val="Heading1"/>
      </w:pPr>
      <w:r>
        <w:t xml:space="preserve">Background</w:t>
      </w:r>
    </w:p>
    <w:p>
      <w:pPr>
        <w:spacing w:after="120"/>
      </w:pPr>
      <w:r>
        <w:t xml:space="preserve">The Parties wish to explore a possible licensing arrangement under which Arkwright would grant Caldera rights in respect of its chip-scale atomic clock and quantum RF sensing technology for defence and aerospace navigation and timing applications (the Purpose). In connection with the Purpose each Party may disclose Confidential Information to the other and the Parties wish to record the terms on which such information is disclosed.</w:t>
      </w:r>
    </w:p>
    <w:p>
      <w:pPr>
        <w:pStyle w:val="Heading1"/>
      </w:pPr>
      <w:r>
        <w:t xml:space="preserve">Operative provisions</w:t>
      </w:r>
    </w:p>
    <w:p>
      <w:pPr>
        <w:pStyle w:val="ListParagraph"/>
        <w:numPr>
          <w:ilvl w:val="1"/>
          <w:numId w:val="2"/>
        </w:numPr>
        <w:spacing w:after="100"/>
      </w:pPr>
      <w:r>
        <w:t xml:space="preserve">Definitions. Confidential Information means all information of a confidential nature (whether technical, commercial, financial or otherwise, and in any form) disclosed by or on behalf of one Party (the Discloser) to the other (the Recipient) in connection with the Purpose, including the existence and terms of the Parties discussions and the QX-Clock technology, designs, test data and roadmaps.</w:t>
      </w:r>
    </w:p>
    <w:p>
      <w:pPr>
        <w:pStyle w:val="ListParagraph"/>
        <w:numPr>
          <w:ilvl w:val="1"/>
          <w:numId w:val="2"/>
        </w:numPr>
        <w:spacing w:after="100"/>
      </w:pPr>
      <w:r>
        <w:t xml:space="preserve">Obligations of confidentiality. The Recipient shall keep the Disclosers Confidential Information secret and confidential, use it solely for the Purpose, and not disclose it to any person except to those of its officers, employees and professional advisers who need to know it for the Purpose and who are bound by obligations of confidentiality no less onerous than those in this Agreement.</w:t>
      </w:r>
    </w:p>
    <w:p>
      <w:pPr>
        <w:pStyle w:val="ListParagraph"/>
        <w:numPr>
          <w:ilvl w:val="1"/>
          <w:numId w:val="2"/>
        </w:numPr>
        <w:spacing w:after="100"/>
      </w:pPr>
      <w:r>
        <w:t xml:space="preserve">Exceptions. The obligations in clause 2 do not apply to information which: (a) is or becomes public other than through breach of this Agreement; (b) was lawfully in the Recipients possession before disclosure; (c) is lawfully obtained from a third party free of any obligation of confidence; or (d) is required to be disclosed by law, regulation or any competent authority, provided the Recipient gives reasonable prior notice where lawful.</w:t>
      </w:r>
    </w:p>
    <w:p>
      <w:pPr>
        <w:pStyle w:val="ListParagraph"/>
        <w:numPr>
          <w:ilvl w:val="1"/>
          <w:numId w:val="2"/>
        </w:numPr>
        <w:spacing w:after="100"/>
      </w:pPr>
      <w:r>
        <w:t xml:space="preserve">Return or destruction. On written request the Recipient shall promptly return or destroy all Confidential Information, save for one copy retained for legal or regulatory record-keeping or held in routine electronic back-ups.</w:t>
      </w:r>
    </w:p>
    <w:p>
      <w:pPr>
        <w:pStyle w:val="ListParagraph"/>
        <w:numPr>
          <w:ilvl w:val="1"/>
          <w:numId w:val="2"/>
        </w:numPr>
        <w:spacing w:after="100"/>
      </w:pPr>
      <w:r>
        <w:t xml:space="preserve">No licence. Nothing in this Agreement grants the Recipient any right, title, licence or interest in any Confidential Information or intellectual property of the Discloser, except the limited right to use it for the Purpose.</w:t>
      </w:r>
    </w:p>
    <w:p>
      <w:pPr>
        <w:pStyle w:val="ListParagraph"/>
        <w:numPr>
          <w:ilvl w:val="1"/>
          <w:numId w:val="2"/>
        </w:numPr>
        <w:spacing w:after="100"/>
      </w:pPr>
      <w:r>
        <w:t xml:space="preserve">Term. This Agreement applies to all Confidential Information disclosed during the period of 18 months from its date, and the confidentiality obligations continue for five years from the date of disclosure of the relevant Confidential Information.</w:t>
      </w:r>
    </w:p>
    <w:p>
      <w:pPr>
        <w:pStyle w:val="ListParagraph"/>
        <w:numPr>
          <w:ilvl w:val="1"/>
          <w:numId w:val="2"/>
        </w:numPr>
        <w:spacing w:after="100"/>
      </w:pPr>
      <w:r>
        <w:t xml:space="preserve">Export control. Each Party acknowledges that the QX-Clock technology may be subject to UK export control and the Export Control Act 2002, and the Recipient shall not disclose or export any Confidential Information in breach of applicable export-control laws.</w:t>
      </w:r>
    </w:p>
    <w:p>
      <w:pPr>
        <w:pStyle w:val="ListParagraph"/>
        <w:numPr>
          <w:ilvl w:val="1"/>
          <w:numId w:val="2"/>
        </w:numPr>
        <w:spacing w:after="100"/>
      </w:pPr>
      <w:r>
        <w:t xml:space="preserve">Governing law and jurisdiction. This Agreement and any non-contractual obligations arising out of it are governed by the law of England and Wales and the Parties submit to the exclusive jurisdiction of the courts of England and Wales.</w:t>
      </w:r>
    </w:p>
    <w:p>
      <w:pPr>
        <w:spacing w:after="120"/>
      </w:pPr>
      <w:r>
        <w:t xml:space="preserve"/>
      </w:r>
    </w:p>
    <w:p>
      <w:pPr>
        <w:spacing w:after="120"/>
      </w:pPr>
      <w:r>
        <w:t xml:space="preserve">SIGNED for and on behalf of Arkwright Quantum Limited: ____________________  Name: Dr Eleanor Frost  Title: CEO</w:t>
      </w:r>
    </w:p>
    <w:p>
      <w:pPr>
        <w:spacing w:after="120"/>
      </w:pPr>
      <w:r>
        <w:t xml:space="preserve">SIGNED for and on behalf of Caldera Defence Systems Limited: ____________________  Name: Marcus Delaney  Title: Chief Technology Officer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Whitfield Carter LLP —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lvl w:ilvl="1" w15:tentative="1">
      <w:start w:val="1"/>
      <w:numFmt w:val="decimal"/>
      <w:lvlText w:val="%1.%2"/>
      <w:lvlJc w:val="left"/>
      <w:pPr>
        <w:ind w:left="560" w:hanging="560"/>
      </w:pPr>
    </w:lvl>
    <w:lvl w:ilvl="2" w15:tentative="1">
      <w:start w:val="1"/>
      <w:numFmt w:val="lowerLetter"/>
      <w:lvlText w:val="(%3)"/>
      <w:lvlJc w:val="left"/>
      <w:pPr>
        <w:ind w:left="1120" w:hanging="4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2026-06-30T21:48:19.322Z</dcterms:created>
  <dcterms:modified xsi:type="dcterms:W3CDTF">2026-06-30T21:48:19.322Z</dcterms:modified>
</cp:coreProperties>
</file>

<file path=docProps/custom.xml><?xml version="1.0" encoding="utf-8"?>
<Properties xmlns="http://schemas.openxmlformats.org/officeDocument/2006/custom-properties" xmlns:vt="http://schemas.openxmlformats.org/officeDocument/2006/docPropsVTypes"/>
</file>