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18"/>
          <w:szCs w:val="18"/>
        </w:rPr>
        <w:t xml:space="preserve">Strictly private and confidential</w:t>
      </w:r>
    </w:p>
    <w:p>
      <w:pPr>
        <w:spacing w:after="120"/>
      </w:pPr>
      <w:r>
        <w:t xml:space="preserve">16 January 2026</w:t>
      </w:r>
    </w:p>
    <w:p>
      <w:pPr>
        <w:spacing w:after="120"/>
      </w:pPr>
      <w:r>
        <w:t xml:space="preserve">The Directors</w:t>
      </w:r>
    </w:p>
    <w:p>
      <w:pPr>
        <w:spacing w:after="120"/>
      </w:pPr>
      <w:r>
        <w:t xml:space="preserve">Caldera Defence Systems Limited</w:t>
      </w:r>
    </w:p>
    <w:p>
      <w:pPr>
        <w:spacing w:after="120"/>
      </w:pPr>
      <w:r>
        <w:t xml:space="preserve">Gunnels Wood Road, Stevenage SG1 2AS</w:t>
      </w:r>
    </w:p>
    <w:p>
      <w:pPr>
        <w:spacing w:after="120"/>
      </w:pPr>
      <w:r>
        <w:t xml:space="preserve"/>
      </w:r>
    </w:p>
    <w:p>
      <w:pPr>
        <w:spacing w:after="120"/>
      </w:pPr>
      <w:r>
        <w:rPr>
          <w:b/>
          <w:bCs/>
        </w:rPr>
        <w:t xml:space="preserve">Dear Sirs</w:t>
      </w:r>
    </w:p>
    <w:p>
      <w:pPr>
        <w:spacing w:after="120"/>
      </w:pPr>
      <w:r>
        <w:rPr>
          <w:b/>
          <w:bCs/>
        </w:rPr>
        <w:t xml:space="preserve">Project Quartz - Side letter regarding qualification milestone and technology transfer</w:t>
      </w:r>
    </w:p>
    <w:p>
      <w:pPr>
        <w:spacing w:after="120"/>
      </w:pPr>
      <w:r>
        <w:t xml:space="preserve">This side letter is supplemental to the Patent and Know-How Licence Agreement between Arkwright Quantum Limited (1) and Caldera Defence Systems Limited (2) dated 22 January 2026 (the Licence). Terms defined in the Licence have the same meaning here.</w:t>
      </w:r>
    </w:p>
    <w:p>
      <w:pPr>
        <w:pStyle w:val="ListParagraph"/>
        <w:numPr>
          <w:ilvl w:val="0"/>
          <w:numId w:val="2"/>
        </w:numPr>
        <w:spacing w:after="100"/>
      </w:pPr>
      <w:r>
        <w:t xml:space="preserve">The Parties agree that the qualification milestone payment of 2,000,000 pounds (payable on the Licensed Products reaching TRL-7) shall be deemed satisfied on the issue by Caldera of a qualification certificate evidencing successful completion of the agreed environmental and timing-stability test campaign, such certificate not to be unreasonably withheld once the acceptance criteria in Schedule 3 are met.</w:t>
      </w:r>
    </w:p>
    <w:p>
      <w:pPr>
        <w:pStyle w:val="ListParagraph"/>
        <w:numPr>
          <w:ilvl w:val="0"/>
          <w:numId w:val="2"/>
        </w:numPr>
        <w:spacing w:after="100"/>
      </w:pPr>
      <w:r>
        <w:t xml:space="preserve">Arkwright shall second one qualified engineer to Calderas Stevenage facility for up to 40 working days during the first 12 months at no additional charge, to support the Technology Transfer described in Schedule 4 of the Licence. Additional secondment days shall be charged at 1,200 pounds per day.</w:t>
      </w:r>
    </w:p>
    <w:p>
      <w:pPr>
        <w:pStyle w:val="ListParagraph"/>
        <w:numPr>
          <w:ilvl w:val="0"/>
          <w:numId w:val="2"/>
        </w:numPr>
        <w:spacing w:after="100"/>
      </w:pPr>
      <w:r>
        <w:t xml:space="preserve">Nothing in this side letter varies the royalty rates, the minimum annual royalty or the liability cap set out in the Licence.</w:t>
      </w:r>
    </w:p>
    <w:p>
      <w:pPr>
        <w:pStyle w:val="ListParagraph"/>
        <w:numPr>
          <w:ilvl w:val="0"/>
          <w:numId w:val="2"/>
        </w:numPr>
        <w:spacing w:after="100"/>
      </w:pPr>
      <w:r>
        <w:t xml:space="preserve">This side letter is governed by the law of England and Wales.</w:t>
      </w:r>
    </w:p>
    <w:p>
      <w:pPr>
        <w:spacing w:after="120"/>
      </w:pPr>
      <w:r>
        <w:t xml:space="preserve">Please countersign and return the enclosed copy to confirm your agreement.</w:t>
      </w:r>
    </w:p>
    <w:p>
      <w:pPr>
        <w:spacing w:after="120"/>
      </w:pPr>
      <w:r>
        <w:t xml:space="preserve">Yours faithfully</w:t>
      </w:r>
    </w:p>
    <w:p>
      <w:pPr>
        <w:spacing w:after="120"/>
      </w:pPr>
      <w:r>
        <w:rPr>
          <w:b/>
          <w:bCs/>
        </w:rPr>
        <w:t xml:space="preserve">For and on behalf of Arkwright Quantum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www.whitfieldcarter.com  •  +44 (0)20 7946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2026-06-30T21:48:19.393Z</dcterms:created>
  <dcterms:modified xsi:type="dcterms:W3CDTF">2026-06-30T21:48:19.393Z</dcterms:modified>
</cp:coreProperties>
</file>

<file path=docProps/custom.xml><?xml version="1.0" encoding="utf-8"?>
<Properties xmlns="http://schemas.openxmlformats.org/officeDocument/2006/custom-properties" xmlns:vt="http://schemas.openxmlformats.org/officeDocument/2006/docPropsVTypes"/>
</file>