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6"/>
          <w:szCs w:val="26"/>
        </w:rPr>
        <w:t xml:space="preserve">PROJECT QUARTZ</w:t>
      </w:r>
    </w:p>
    <w:p>
      <w:pPr>
        <w:spacing w:after="120"/>
        <w:jc w:val="center"/>
      </w:pPr>
      <w:r>
        <w:rPr>
          <w:b/>
          <w:bCs/>
        </w:rPr>
        <w:t xml:space="preserve">Non-Binding Term Sheet - Exclusive Patent &amp; Know-How Licence</w:t>
      </w:r>
    </w:p>
    <w:p>
      <w:pPr>
        <w:spacing w:after="120"/>
        <w:jc w:val="center"/>
      </w:pPr>
      <w:r>
        <w:rPr>
          <w:i/>
          <w:iCs/>
        </w:rPr>
        <w:t xml:space="preserve">Dated 30 September 2025</w:t>
      </w:r>
    </w:p>
    <w:p>
      <w:pPr>
        <w:spacing w:after="120"/>
      </w:pPr>
      <w:r>
        <w:t xml:space="preserve">This term sheet records the principal terms on which Arkwright Quantum Limited (Licensor) proposes to grant Caldera Defence Systems Limited (Licensee) an exclusive licence of the QX-Clock patent family and associated know-how. Save for the paragraphs headed Exclusivity, Costs, Confidentiality and Governing Law, this term sheet is not legally binding and is subject to contract and to satisfactory due diligence and board approvals.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Heading</w:t>
            </w:r>
          </w:p>
        </w:tc>
        <w:tc>
          <w:tcPr>
            <w:tcW w:type="dxa" w:w="6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Principal terms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Licensor</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Arkwright Quantum Limited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Licensee</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Caldera Defence Systems Limited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Licensed IP</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The QX-Clock Patent Family (5 granted patents and applications across GB, EP, US and JP) and related know-how relating to chip-scale optically-pumped atomic clocks and quantum RF magnetometers.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Field of Use</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Defence and aerospace navigation, positioning and timing, including GNSS-denied navigation. Worldwide territory.</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Exclusivity</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Exclusive within the Field of Use (including as against the Licensor), subject to the existing Meridian research licence carve-out and to minimum performance obligations.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Term</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Twelve (12) years from the Effective Date, subject to earlier termination rights.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Upfront fee</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4,500,000 pounds payable on signing.</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Milestone payments</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2,000,000 pounds on qualification to TRL-7; 3,500,000 pounds on the first production purchase order. Total milestones 5,500,000 pounds.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Royalty</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6.5% of Net Sales, reducing to 4.0% on cumulative Net Sales exceeding 80,000,000 pounds.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Minimum royalty</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750,000 pounds per annum from the third anniversary of the Effective Date.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Liability cap</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To be negotiated; Licensor proposes 100% of sums paid in the preceding 12 months.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Diligence</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Technical and IP due diligence on the QX-Clock family; freedom-to-operate confirmation by Hartington IP.</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Exclusivity period</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Licensee to have exclusivity to negotiate until 31 January 2026.</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Advisers</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Licensor: Whitfield Carter LLP. Licensee: Birchall Stone LLP.</w:t>
            </w:r>
          </w:p>
        </w:tc>
      </w:tr>
    </w:tbl>
    <w:p>
      <w:pPr>
        <w:spacing w:after="120"/>
      </w:pPr>
      <w:r>
        <w:t xml:space="preserve">Signed for the Licensor: Dr Eleanor Frost, CEO. Signed for the Licensee: Caroline Vane, General Counsel.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Whitfield Carter LLP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6"/>
        <w:szCs w:val="26"/>
      </w:rPr>
      <w:t xml:space="preserve">Whitfield Carter LLP</w:t>
    </w:r>
  </w:p>
  <w:p>
    <w:pPr>
      <w:pBdr>
        <w:bottom w:val="single" w:color="1F3864" w:sz="6" w:space="4"/>
      </w:pBdr>
      <w:spacing w:after="200"/>
    </w:pPr>
    <w:r>
      <w:rPr>
        <w:color w:val="595959"/>
        <w:sz w:val="16"/>
        <w:szCs w:val="16"/>
      </w:rPr>
      <w:t xml:space="preserve">22 Bishopsgate, London EC2N 4BQ  •  www.whitfieldcarter.com  •  +44 (0)20 7946 1200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lvl w:ilvl="1" w15:tentative="1">
      <w:start w:val="1"/>
      <w:numFmt w:val="decimal"/>
      <w:lvlText w:val="%1.%2"/>
      <w:lvlJc w:val="left"/>
      <w:pPr>
        <w:ind w:left="560" w:hanging="560"/>
      </w:pPr>
    </w:lvl>
    <w:lvl w:ilvl="2" w15:tentative="1">
      <w:start w:val="1"/>
      <w:numFmt w:val="lowerLetter"/>
      <w:lvlText w:val="(%3)"/>
      <w:lvlJc w:val="left"/>
      <w:pPr>
        <w:ind w:left="1120" w:hanging="4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2026-06-30T21:48:19.342Z</dcterms:created>
  <dcterms:modified xsi:type="dcterms:W3CDTF">2026-06-30T21:48:19.342Z</dcterms:modified>
</cp:coreProperties>
</file>

<file path=docProps/custom.xml><?xml version="1.0" encoding="utf-8"?>
<Properties xmlns="http://schemas.openxmlformats.org/officeDocument/2006/custom-properties" xmlns:vt="http://schemas.openxmlformats.org/officeDocument/2006/docPropsVTypes"/>
</file>