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C00000"/>
          <w:sz w:val="20"/>
          <w:szCs w:val="20"/>
        </w:rPr>
        <w:t xml:space="preserve">LEGALLY PRIVILEGED &amp; CONFIDENTIAL</w:t>
      </w:r>
    </w:p>
    <w:p>
      <w:pPr>
        <w:pStyle w:val="Heading1"/>
      </w:pPr>
      <w:r>
        <w:t xml:space="preserve">Advice Note — CQC Inspection of Maple Court: Regulatory Strategy</w:t>
      </w:r>
    </w:p>
    <w:p>
      <w:pPr>
        <w:spacing w:after="120" w:line="276"/>
      </w:pPr>
      <w:r>
        <w:rPr>
          <w:b/>
          <w:bCs/>
        </w:rPr>
        <w:t xml:space="preserve">To: </w:t>
      </w:r>
      <w:r>
        <w:t xml:space="preserve">Daniel Pryce (General Counsel), Lorna Keane (COO), Iqbal Rahman (CEO)</w:t>
      </w:r>
    </w:p>
    <w:p>
      <w:pPr>
        <w:spacing w:after="120" w:line="276"/>
      </w:pPr>
      <w:r>
        <w:rPr>
          <w:b/>
          <w:bCs/>
        </w:rPr>
        <w:t xml:space="preserve">From: </w:t>
      </w:r>
      <w:r>
        <w:t xml:space="preserve">Sarah Whitfield / Tom Gallagher, Whitfield Carter LLP</w:t>
      </w:r>
    </w:p>
    <w:p>
      <w:pPr>
        <w:spacing w:after="120" w:line="276"/>
      </w:pPr>
      <w:r>
        <w:rPr>
          <w:b/>
          <w:bCs/>
        </w:rPr>
        <w:t xml:space="preserve">Date: </w:t>
      </w:r>
      <w:r>
        <w:t xml:space="preserve">21 March 2025</w:t>
      </w:r>
    </w:p>
    <w:p>
      <w:pPr>
        <w:spacing w:after="120" w:line="276"/>
      </w:pPr>
      <w:r>
        <w:rPr>
          <w:b/>
          <w:bCs/>
        </w:rPr>
        <w:t xml:space="preserve">Re: </w:t>
      </w:r>
      <w:r>
        <w:t xml:space="preserve">Warning Notice, draft “Inadequate” report and options</w:t>
      </w:r>
    </w:p>
    <w:p>
      <w:pPr>
        <w:pStyle w:val="Heading2"/>
      </w:pPr>
      <w:r>
        <w:t xml:space="preserve">1. Executive summary</w:t>
      </w:r>
    </w:p>
    <w:p>
      <w:pPr>
        <w:pStyle w:val="ListParagraph"/>
        <w:numPr>
          <w:ilvl w:val="0"/>
          <w:numId w:val="2"/>
        </w:numPr>
        <w:spacing w:after="120"/>
      </w:pPr>
      <w:r>
        <w:t xml:space="preserve">Following its responsive inspection on 11–12 February 2025, the CQC has issued a Warning Notice under section 29 of the 2008 Act in respect of Regulation 12 (safe care and treatment) and has produced a draft report proposing an overall rating of “Inadequate”, with “Inadequate” for the safe and well-led key questions. An “Inadequate” overall rating engages the CQC’s special measures regime.</w:t>
      </w:r>
    </w:p>
    <w:p>
      <w:pPr>
        <w:pStyle w:val="ListParagraph"/>
        <w:numPr>
          <w:ilvl w:val="0"/>
          <w:numId w:val="2"/>
        </w:numPr>
        <w:spacing w:after="120"/>
      </w:pPr>
      <w:r>
        <w:t xml:space="preserve">In our view the underlying medicines-management failing in relation to Mrs E.H. is, regrettably, made out on the records and is not realistically contestable. The Group’s strongest position is therefore (i) to correct specific factual errors in the draft report through the factual accuracy process, (ii) to demonstrate prompt and comprehensive remedial action, and (iii) to resist disproportionate conditions of registration through representations, rather than to dispute the core findings.</w:t>
      </w:r>
    </w:p>
    <w:p>
      <w:pPr>
        <w:pStyle w:val="Heading2"/>
      </w:pPr>
      <w:r>
        <w:t xml:space="preserve">2. The Warning Notice (Regulation 12)</w:t>
      </w:r>
    </w:p>
    <w:p>
      <w:pPr>
        <w:pStyle w:val="ListParagraph"/>
        <w:numPr>
          <w:ilvl w:val="0"/>
          <w:numId w:val="2"/>
        </w:numPr>
        <w:spacing w:after="120"/>
      </w:pPr>
      <w:r>
        <w:t xml:space="preserve">A Warning Notice does not itself carry a right of appeal to the First-tier Tribunal. The Group may, however, make written representations to the CQC about the factual content of the notice within the period specified. Our advice is that representations on the Warning Notice should be confined to factual corrections (see the factual accuracy schedule), because a Warning Notice that is broadly accurate is unlikely to be withdrawn and an aggressive challenge risks undermining the cooperative tone we wish to set with the relationship inspector.</w:t>
      </w:r>
    </w:p>
    <w:p>
      <w:pPr>
        <w:pStyle w:val="ListParagraph"/>
        <w:numPr>
          <w:ilvl w:val="0"/>
          <w:numId w:val="2"/>
        </w:numPr>
        <w:spacing w:after="120"/>
      </w:pPr>
      <w:r>
        <w:t xml:space="preserve">The compliance date is 30 April 2025. The single most important protective step is to be able to show, by that date, that the breach has been remedied. The remedial action plan (separate document) is directed to this.</w:t>
      </w:r>
    </w:p>
    <w:p>
      <w:pPr>
        <w:pStyle w:val="Heading2"/>
      </w:pPr>
      <w:r>
        <w:t xml:space="preserve">3. The draft report and factual accuracy</w:t>
      </w:r>
    </w:p>
    <w:p>
      <w:pPr>
        <w:pStyle w:val="ListParagraph"/>
        <w:numPr>
          <w:ilvl w:val="0"/>
          <w:numId w:val="2"/>
        </w:numPr>
        <w:spacing w:after="120"/>
      </w:pPr>
      <w:r>
        <w:t xml:space="preserve">The CQC must give the provider an opportunity to comment on the factual accuracy of a draft report before publication. This is the appropriate vehicle to correct: (a) the statement that there was “no medicines audit in place” (there was a monthly audit, although it failed to detect the omission); (b) the implication that the failing was systemic across all four units (the evidence relates to the Ferndale unit and the agency night cover); and (c) the staffing figures, which understate substantive nursing hours.</w:t>
      </w:r>
    </w:p>
    <w:p>
      <w:pPr>
        <w:pStyle w:val="ListParagraph"/>
        <w:numPr>
          <w:ilvl w:val="0"/>
          <w:numId w:val="2"/>
        </w:numPr>
        <w:spacing w:after="120"/>
      </w:pPr>
      <w:r>
        <w:t xml:space="preserve">Factual accuracy comments will not change a rating that is otherwise properly evidenced, but accurate findings narrow the basis for any conditions and improve the Group’s position on any later challenge.</w:t>
      </w:r>
    </w:p>
    <w:p>
      <w:pPr>
        <w:pStyle w:val="Heading2"/>
      </w:pPr>
      <w:r>
        <w:t xml:space="preserve">4. Notice of Proposal / conditions</w:t>
      </w:r>
    </w:p>
    <w:p>
      <w:pPr>
        <w:pStyle w:val="ListParagraph"/>
        <w:numPr>
          <w:ilvl w:val="0"/>
          <w:numId w:val="2"/>
        </w:numPr>
        <w:spacing w:after="120"/>
      </w:pPr>
      <w:r>
        <w:t xml:space="preserve">We anticipate (and the CQC has now confirmed) a Notice of Proposal to impose conditions on the Group’s registration in respect of Maple Court. Likely conditions include a monthly medicines-governance report to the CQC and a restriction on new admissions. A restriction on admissions has a direct revenue impact and should be resisted as disproportionate if remediation is demonstrably complete; a time-limited reporting condition is more readily defensible to accept.</w:t>
      </w:r>
    </w:p>
    <w:p>
      <w:pPr>
        <w:pStyle w:val="ListParagraph"/>
        <w:numPr>
          <w:ilvl w:val="0"/>
          <w:numId w:val="2"/>
        </w:numPr>
        <w:spacing w:after="120"/>
      </w:pPr>
      <w:r>
        <w:t xml:space="preserve">Unlike a Warning Notice, a Notice of Decision following representations does carry a right of appeal to the First-tier Tribunal (Care Standards). We should preserve that route but treat it as a last resort.</w:t>
      </w:r>
    </w:p>
    <w:p>
      <w:pPr>
        <w:pStyle w:val="Heading2"/>
      </w:pPr>
      <w:r>
        <w:t xml:space="preserve">5. Duty of candour and notifications</w:t>
      </w:r>
    </w:p>
    <w:p>
      <w:pPr>
        <w:pStyle w:val="ListParagraph"/>
        <w:numPr>
          <w:ilvl w:val="0"/>
          <w:numId w:val="2"/>
        </w:numPr>
        <w:spacing w:after="120"/>
      </w:pPr>
      <w:r>
        <w:t xml:space="preserve">The Group has complied with its Regulation 18 notification duty and its Regulation 20 duty of candour to Mrs E.H.’s family. It is essential that this continues; any perception of defensiveness would be damaging both to the regulatory relationship and to the well-led assessment. We advise that our involvement is not used as a reason to slow candour communications.</w:t>
      </w:r>
    </w:p>
    <w:p>
      <w:pPr>
        <w:pStyle w:val="Heading2"/>
      </w:pPr>
      <w:r>
        <w:t xml:space="preserve">6. Recommended course of action</w:t>
      </w:r>
    </w:p>
    <w:p>
      <w:pPr>
        <w:pStyle w:val="ListParagraph"/>
        <w:numPr>
          <w:ilvl w:val="0"/>
          <w:numId w:val="2"/>
        </w:numPr>
        <w:spacing w:after="120"/>
      </w:pPr>
      <w:r>
        <w:t xml:space="preserve">We recommend that the Group: </w:t>
      </w:r>
    </w:p>
    <w:p>
      <w:pPr>
        <w:pStyle w:val="ListParagraph"/>
        <w:numPr>
          <w:ilvl w:val="1"/>
          <w:numId w:val="2"/>
        </w:numPr>
        <w:spacing w:after="80"/>
      </w:pPr>
      <w:r>
        <w:t xml:space="preserve">submits focused factual accuracy comments by the (extended) deadline of 3 April 2025;</w:t>
      </w:r>
    </w:p>
    <w:p>
      <w:pPr>
        <w:pStyle w:val="ListParagraph"/>
        <w:numPr>
          <w:ilvl w:val="1"/>
          <w:numId w:val="2"/>
        </w:numPr>
        <w:spacing w:after="80"/>
      </w:pPr>
      <w:r>
        <w:t xml:space="preserve">completes and evidences the remedial action plan before the 30 April 2025 compliance date;</w:t>
      </w:r>
    </w:p>
    <w:p>
      <w:pPr>
        <w:pStyle w:val="ListParagraph"/>
        <w:numPr>
          <w:ilvl w:val="1"/>
          <w:numId w:val="2"/>
        </w:numPr>
        <w:spacing w:after="80"/>
      </w:pPr>
      <w:r>
        <w:t xml:space="preserve">accepts a time-limited monthly reporting condition but makes representations resisting any restriction on admissions; and</w:t>
      </w:r>
    </w:p>
    <w:p>
      <w:pPr>
        <w:pStyle w:val="ListParagraph"/>
        <w:numPr>
          <w:ilvl w:val="1"/>
          <w:numId w:val="2"/>
        </w:numPr>
        <w:spacing w:after="80"/>
      </w:pPr>
      <w:r>
        <w:t xml:space="preserve">preserves but does not presently exercise the First-tier Tribunal appeal route.</w:t>
      </w:r>
    </w:p>
    <w:p>
      <w:pPr>
        <w:spacing w:after="120" w:line="276"/>
      </w:pPr>
      <w:r>
        <w:rPr>
          <w:i/>
          <w:iCs/>
          <w:sz w:val="18"/>
          <w:szCs w:val="18"/>
        </w:rPr>
        <w:t xml:space="preserve">This note is provided for the Group and is subject to legal professional privilege. Please take our advice before sharing it outside the senior team.</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tabs>
        <w:tab w:val="right" w:pos="9026"/>
      </w:tabs>
    </w:pPr>
    <w:r>
      <w:rPr>
        <w:color w:val="808080"/>
        <w:sz w:val="14"/>
        <w:szCs w:val="14"/>
      </w:rPr>
      <w:t xml:space="preserve">Whitfield Carter LLP  |  22 Bishopsgate, London EC2N 4BQ  |  Confidential and may be legally privileged.</w:t>
    </w:r>
    <w:r>
      <w:rPr>
        <w:color w:val="808080"/>
        <w:sz w:val="14"/>
        <w:szCs w:val="14"/>
      </w:rPr>
      <w:t xml:space="preserve">	Page </w:t>
    </w:r>
    <w:r>
      <w:rPr>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b/>
        <w:bCs/>
        <w:color w:val="1F3864"/>
        <w:sz w:val="28"/>
        <w:szCs w:val="28"/>
      </w:rPr>
      <w:t xml:space="preserve">Whitfield Carter LLP</w:t>
    </w:r>
  </w:p>
  <w:p>
    <w:pPr>
      <w:pBdr>
        <w:bottom w:val="single" w:color="1F3864" w:sz="6" w:space="4"/>
      </w:pBdr>
      <w:spacing w:after="120"/>
    </w:pPr>
    <w:r>
      <w:rPr>
        <w:color w:val="595959"/>
        <w:sz w:val="16"/>
        <w:szCs w:val="16"/>
      </w:rPr>
      <w:t xml:space="preserve">22 Bishopsgate, London EC2N 4BQ  ·  Tel +44 (0)20 7946 0500  ·  www.whitfieldcarter.com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lvl w:ilvl="1" w15:tentative="1">
      <w:start w:val="1"/>
      <w:numFmt w:val="lowerLetter"/>
      <w:lvlText w:val="(%2)"/>
      <w:lvlJc w:val="left"/>
      <w:pPr>
        <w:ind w:left="1320" w:hanging="42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30"/>
      <w:szCs w:val="30"/>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2026-06-29T22:09:46.969Z</dcterms:created>
  <dcterms:modified xsi:type="dcterms:W3CDTF">2026-06-29T22:09:46.969Z</dcterms:modified>
</cp:coreProperties>
</file>

<file path=docProps/custom.xml><?xml version="1.0" encoding="utf-8"?>
<Properties xmlns="http://schemas.openxmlformats.org/officeDocument/2006/custom-properties" xmlns:vt="http://schemas.openxmlformats.org/officeDocument/2006/docPropsVTypes"/>
</file>