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C00000"/>
          <w:sz w:val="20"/>
          <w:szCs w:val="20"/>
        </w:rPr>
        <w:t xml:space="preserve">PRIVILEGED &amp; CONFIDENTIAL</w:t>
      </w:r>
    </w:p>
    <w:p>
      <w:pPr>
        <w:pStyle w:val="Heading1"/>
      </w:pPr>
      <w:r>
        <w:t xml:space="preserve">Maple Court Care Home — Chronology of Events</w:t>
      </w:r>
    </w:p>
    <w:p>
      <w:pPr>
        <w:spacing w:after="120" w:line="276"/>
      </w:pPr>
      <w:r>
        <w:rPr>
          <w:b/>
          <w:bCs/>
        </w:rPr>
        <w:t xml:space="preserve">Matter: </w:t>
      </w:r>
      <w:r>
        <w:t xml:space="preserve">WC-00189  ·  Client: Ashbourne Healthcare Group Limited  ·  Prepared by: Tom Gallagher  ·  As at 9 May 2025</w:t>
      </w:r>
    </w:p>
    <w:p>
      <w:pPr>
        <w:spacing w:after="120" w:line="276"/>
      </w:pPr>
      <w:r>
        <w:t xml:space="preserve">This chronology is a working document prepared for the purpose of advising the Group and is subject to legal professional privilege. Dates and entries are drawn from the inspection feedback, the Service’s records and instructions received.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Date</w:t>
            </w:r>
          </w:p>
        </w:tc>
        <w:tc>
          <w:tcPr>
            <w:tcW w:type="dxa" w:w="73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Event</w:t>
            </w:r>
          </w:p>
        </w:tc>
      </w:tr>
      <w:tr>
        <w:trPr>
          <w:tblHeader w:val="false"/>
        </w:trP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8 Nov 2024</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Mrs E.H. (resident, Room 14) admitted to Maple Court for long-term residential care; medicines reconciliation completed on admission.</w:t>
            </w:r>
          </w:p>
        </w:tc>
      </w:tr>
      <w:tr>
        <w:trPr>
          <w:tblHeader w:val="false"/>
        </w:trPr>
        <w:tc>
          <w:tcPr>
            <w:tcW w:type="dxa" w:w="1700"/>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3 Jan 2025</w:t>
            </w:r>
          </w:p>
        </w:tc>
        <w:tc>
          <w:tcPr>
            <w:tcW w:type="dxa" w:w="7326"/>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Agency night nurse commences regular shifts at Maple Court covering staff vacancy on Ferndale unit.</w:t>
            </w:r>
          </w:p>
        </w:tc>
      </w:tr>
      <w:tr>
        <w:trPr>
          <w:tblHeader w:val="false"/>
        </w:trP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19 Jan 2025</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Medication administration record (MAR) for Mrs E.H. shows two consecutive missed doses of anticoagulant (apixaban). Not escalated at the time.</w:t>
            </w:r>
          </w:p>
        </w:tc>
      </w:tr>
      <w:tr>
        <w:trPr>
          <w:tblHeader w:val="false"/>
        </w:trPr>
        <w:tc>
          <w:tcPr>
            <w:tcW w:type="dxa" w:w="1700"/>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27 Jan 2025</w:t>
            </w:r>
          </w:p>
        </w:tc>
        <w:tc>
          <w:tcPr>
            <w:tcW w:type="dxa" w:w="7326"/>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Mrs E.H. admitted to Colchester General Hospital following a fall; hospital queries anticoagulation management. Safeguarding concern raised by ward.</w:t>
            </w:r>
          </w:p>
        </w:tc>
      </w:tr>
      <w:tr>
        <w:trPr>
          <w:tblHeader w:val="false"/>
        </w:trP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28 Jan 2025</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Essex County Council safeguarding team notified (s.42 Care Act 2014 enquiry opened). Group notified CQC under Reg 18 (notification of other incidents).</w:t>
            </w:r>
          </w:p>
        </w:tc>
      </w:tr>
      <w:tr>
        <w:trPr>
          <w:tblHeader w:val="false"/>
        </w:trPr>
        <w:tc>
          <w:tcPr>
            <w:tcW w:type="dxa" w:w="1700"/>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11–12 Feb 2025</w:t>
            </w:r>
          </w:p>
        </w:tc>
        <w:tc>
          <w:tcPr>
            <w:tcW w:type="dxa" w:w="7326"/>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CQC carries out a responsive (focused) inspection of Maple Court across the safe, effective and well-led key questions.</w:t>
            </w:r>
          </w:p>
        </w:tc>
      </w:tr>
      <w:tr>
        <w:trPr>
          <w:tblHeader w:val="false"/>
        </w:trP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12 Feb 2025</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Verbal feedback from lead inspector (Ms J. Hartley): immediate concerns over medicines management and governance; proposed rating “Inadequate” for safe and well-led.</w:t>
            </w:r>
          </w:p>
        </w:tc>
      </w:tr>
      <w:tr>
        <w:trPr>
          <w:tblHeader w:val="false"/>
        </w:trPr>
        <w:tc>
          <w:tcPr>
            <w:tcW w:type="dxa" w:w="1700"/>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27 Feb 2025</w:t>
            </w:r>
          </w:p>
        </w:tc>
        <w:tc>
          <w:tcPr>
            <w:tcW w:type="dxa" w:w="7326"/>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Whitfield Carter LLP instructed; engagement letter issued.</w:t>
            </w:r>
          </w:p>
        </w:tc>
      </w:tr>
      <w:tr>
        <w:trPr>
          <w:tblHeader w:val="false"/>
        </w:trP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6 Mar 2025</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CQC issues Warning Notice under s.29 of the 2008 Act in respect of Regulation 12 (safe care and treatment); compliance date 30 April 2025.</w:t>
            </w:r>
          </w:p>
        </w:tc>
      </w:tr>
      <w:tr>
        <w:trPr>
          <w:tblHeader w:val="false"/>
        </w:trPr>
        <w:tc>
          <w:tcPr>
            <w:tcW w:type="dxa" w:w="1700"/>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13 Mar 2025</w:t>
            </w:r>
          </w:p>
        </w:tc>
        <w:tc>
          <w:tcPr>
            <w:tcW w:type="dxa" w:w="7326"/>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CQC sends draft inspection report to the Group for factual accuracy comments; 10 working-day window (response due 27 March 2025, extended to 3 April 2025 by agreement).</w:t>
            </w:r>
          </w:p>
        </w:tc>
      </w:tr>
      <w:tr>
        <w:trPr>
          <w:tblHeader w:val="false"/>
        </w:trP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 Apr 2025</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Group submits factual accuracy comments via Whitfield Carter LLP.</w:t>
            </w:r>
          </w:p>
        </w:tc>
      </w:tr>
      <w:tr>
        <w:trPr>
          <w:tblHeader w:val="false"/>
        </w:trPr>
        <w:tc>
          <w:tcPr>
            <w:tcW w:type="dxa" w:w="1700"/>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24 Apr 2025</w:t>
            </w:r>
          </w:p>
        </w:tc>
        <w:tc>
          <w:tcPr>
            <w:tcW w:type="dxa" w:w="7326"/>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CQC issues Notice of Proposal to impose conditions on the Group’s registration in respect of Maple Court.</w:t>
            </w:r>
          </w:p>
        </w:tc>
      </w:tr>
      <w:tr>
        <w:trPr>
          <w:tblHeader w:val="false"/>
        </w:trP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30 Apr 2025</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Warning Notice compliance date; Group’s remedial action plan substantially implemented.</w:t>
            </w:r>
          </w:p>
        </w:tc>
      </w:tr>
      <w:tr>
        <w:trPr>
          <w:tblHeader w:val="false"/>
        </w:trPr>
        <w:tc>
          <w:tcPr>
            <w:tcW w:type="dxa" w:w="1700"/>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8 May 2025</w:t>
            </w:r>
          </w:p>
        </w:tc>
        <w:tc>
          <w:tcPr>
            <w:tcW w:type="dxa" w:w="7326"/>
            <w:tcBorders>
              <w:top w:val="single" w:color="BFBFBF" w:sz="1"/>
              <w:left w:val="single" w:color="BFBFBF" w:sz="1"/>
              <w:bottom w:val="single" w:color="BFBFBF" w:sz="1"/>
              <w:right w:val="single" w:color="BFBFBF" w:sz="1"/>
            </w:tcBorders>
            <w:shd w:fill="F2F4F8" w:val="clear"/>
            <w:tcMar>
              <w:top w:type="dxa" w:w="60"/>
              <w:left w:type="dxa" w:w="110"/>
              <w:bottom w:type="dxa" w:w="60"/>
              <w:right w:type="dxa" w:w="110"/>
            </w:tcMar>
          </w:tcPr>
          <w:p>
            <w:r>
              <w:rPr>
                <w:b w:val="false"/>
                <w:bCs w:val="false"/>
                <w:color w:val="000000"/>
                <w:sz w:val="20"/>
                <w:szCs w:val="20"/>
              </w:rPr>
              <w:t xml:space="preserve">Group instructs Whitfield Carter LLP to prepare written representations against the Notice of Proposal (28-day window, due 22 May 2025).</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Whitfield Carter LLP  |  22 Bishopsgate, London EC2N 4BQ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8"/>
        <w:szCs w:val="28"/>
      </w:rPr>
      <w:t xml:space="preserve">Whitfield Carter LLP</w:t>
    </w:r>
  </w:p>
  <w:p>
    <w:pPr>
      <w:pBdr>
        <w:bottom w:val="single" w:color="1F3864" w:sz="6" w:space="4"/>
      </w:pBdr>
      <w:spacing w:after="120"/>
    </w:pPr>
    <w:r>
      <w:rPr>
        <w:color w:val="595959"/>
        <w:sz w:val="16"/>
        <w:szCs w:val="16"/>
      </w:rPr>
      <w:t xml:space="preserve">22 Bishopsgate, London EC2N 4BQ  ·  Tel +44 (0)20 7946 0500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360"/>
      </w:pPr>
    </w:lvl>
    <w:lvl w:ilvl="1" w15:tentative="1">
      <w:start w:val="1"/>
      <w:numFmt w:val="lowerLetter"/>
      <w:lvlText w:val="(%2)"/>
      <w:lvlJc w:val="left"/>
      <w:pPr>
        <w:ind w:left="1320" w:hanging="4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2026-06-29T22:09:46.942Z</dcterms:created>
  <dcterms:modified xsi:type="dcterms:W3CDTF">2026-06-29T22:09:46.942Z</dcterms:modified>
</cp:coreProperties>
</file>

<file path=docProps/custom.xml><?xml version="1.0" encoding="utf-8"?>
<Properties xmlns="http://schemas.openxmlformats.org/officeDocument/2006/custom-properties" xmlns:vt="http://schemas.openxmlformats.org/officeDocument/2006/docPropsVTypes"/>
</file>