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sz w:val="20"/>
          <w:szCs w:val="20"/>
        </w:rPr>
        <w:t xml:space="preserve">27 February 2025</w:t>
      </w:r>
    </w:p>
    <w:p>
      <w:pPr>
        <w:spacing w:after="0"/>
      </w:pPr>
      <w:r>
        <w:rPr>
          <w:sz w:val="20"/>
          <w:szCs w:val="20"/>
        </w:rPr>
        <w:t xml:space="preserve">Strictly private &amp; confidential — addressee only</w:t>
      </w:r>
    </w:p>
    <w:p>
      <w:pPr>
        <w:spacing w:after="0"/>
      </w:pPr>
      <w:r>
        <w:rPr>
          <w:sz w:val="20"/>
          <w:szCs w:val="20"/>
        </w:rPr>
        <w:t xml:space="preserve">Mr Daniel Pryce</w:t>
      </w:r>
    </w:p>
    <w:p>
      <w:pPr>
        <w:spacing w:after="0"/>
      </w:pPr>
      <w:r>
        <w:rPr>
          <w:sz w:val="20"/>
          <w:szCs w:val="20"/>
        </w:rPr>
        <w:t xml:space="preserve">General Counsel &amp; Company Secretary</w:t>
      </w:r>
    </w:p>
    <w:p>
      <w:pPr>
        <w:spacing w:after="0"/>
      </w:pPr>
      <w:r>
        <w:rPr>
          <w:sz w:val="20"/>
          <w:szCs w:val="20"/>
        </w:rPr>
        <w:t xml:space="preserve">Ashbourne Healthcare Group Limited</w:t>
      </w:r>
    </w:p>
    <w:p>
      <w:pPr>
        <w:spacing w:after="0"/>
      </w:pPr>
      <w:r>
        <w:rPr>
          <w:sz w:val="20"/>
          <w:szCs w:val="20"/>
        </w:rPr>
        <w:t xml:space="preserve">Pinnacle House, Crown Street, Ipswich IP1 3HS</w:t>
      </w:r>
    </w:p>
    <w:p>
      <w:pPr>
        <w:spacing w:after="80"/>
      </w:pPr>
      <w:r>
        <w:t xml:space="preserve"/>
      </w:r>
    </w:p>
    <w:p>
      <w:pPr>
        <w:spacing w:after="120"/>
      </w:pPr>
      <w:r>
        <w:rPr>
          <w:color w:val="595959"/>
          <w:sz w:val="18"/>
          <w:szCs w:val="18"/>
        </w:rPr>
        <w:t xml:space="preserve">Our ref: WC/AHG/00189/SW</w:t>
      </w:r>
    </w:p>
    <w:p>
      <w:pPr>
        <w:spacing w:after="120" w:line="276"/>
      </w:pPr>
      <w:r>
        <w:rPr>
          <w:b/>
          <w:bCs/>
        </w:rPr>
        <w:t xml:space="preserve">Dear Daniel</w:t>
      </w:r>
    </w:p>
    <w:p>
      <w:pPr>
        <w:spacing w:after="120" w:line="276"/>
      </w:pPr>
      <w:r>
        <w:rPr>
          <w:b/>
          <w:bCs/>
        </w:rPr>
        <w:t xml:space="preserve">Care Quality Commission inspection of Maple Court Care Home — engagement and scope of work</w:t>
      </w:r>
    </w:p>
    <w:p>
      <w:pPr>
        <w:spacing w:after="120" w:line="276"/>
      </w:pPr>
      <w:r>
        <w:t xml:space="preserve">Thank you for instructing Whitfield Carter LLP in connection with the Care Quality Commission (“CQC”) inspection of Maple Court Care Home, Maldon Road, Colchester CO2 8QR (“Maple Court” or the “Service”), carried out on 11–12 February 2025, and the regulatory steps that the Group anticipates will follow. This letter, together with our enclosed standard terms of business, sets out the basis on which we will act.</w:t>
      </w:r>
    </w:p>
    <w:p>
      <w:pPr>
        <w:pStyle w:val="Heading2"/>
      </w:pPr>
      <w:r>
        <w:t xml:space="preserve">1. Scope of our engagement</w:t>
      </w:r>
    </w:p>
    <w:p>
      <w:pPr>
        <w:spacing w:after="120" w:line="276"/>
      </w:pPr>
      <w:r>
        <w:t xml:space="preserve">We are instructed to advise Ashbourne Healthcare Group Limited (the “Client” or the “Group”) in its capacity as the registered provider of the Service. Our work will comprise:</w:t>
      </w:r>
    </w:p>
    <w:p>
      <w:pPr>
        <w:pStyle w:val="ListParagraph"/>
        <w:numPr>
          <w:ilvl w:val="1"/>
          <w:numId w:val="2"/>
        </w:numPr>
        <w:spacing w:after="80"/>
      </w:pPr>
      <w:r>
        <w:t xml:space="preserve">reviewing the CQC inspector’s feedback, the draft inspection report and any Warning Notice, Notice of Proposal or Notice of Decision issued under the Health and Social Care Act 2008 (the “2008 Act”) and the Care Quality Commission (Registration) Regulations 2009;</w:t>
      </w:r>
    </w:p>
    <w:p>
      <w:pPr>
        <w:pStyle w:val="ListParagraph"/>
        <w:numPr>
          <w:ilvl w:val="1"/>
          <w:numId w:val="2"/>
        </w:numPr>
        <w:spacing w:after="80"/>
      </w:pPr>
      <w:r>
        <w:t xml:space="preserve">advising on the Group’s rights and obligations, including the factual accuracy comments process and the making of written representations;</w:t>
      </w:r>
    </w:p>
    <w:p>
      <w:pPr>
        <w:pStyle w:val="ListParagraph"/>
        <w:numPr>
          <w:ilvl w:val="1"/>
          <w:numId w:val="2"/>
        </w:numPr>
        <w:spacing w:after="80"/>
      </w:pPr>
      <w:r>
        <w:t xml:space="preserve">drafting the factual accuracy response, representations and any application to vary or remove conditions of registration; and</w:t>
      </w:r>
    </w:p>
    <w:p>
      <w:pPr>
        <w:pStyle w:val="ListParagraph"/>
        <w:numPr>
          <w:ilvl w:val="1"/>
          <w:numId w:val="2"/>
        </w:numPr>
        <w:spacing w:after="80"/>
      </w:pPr>
      <w:r>
        <w:t xml:space="preserve">advising on the regulatory action plan and the Group’s ongoing duty of candour and notification obligations under Regulations 18 and 20 of the Health and Social Care Act 2008 (Regulated Activities) Regulations 2014 (the “2014 Regulations”).</w:t>
      </w:r>
    </w:p>
    <w:p>
      <w:pPr>
        <w:spacing w:after="120" w:line="276"/>
      </w:pPr>
      <w:r>
        <w:t xml:space="preserve">Our engagement does not extend to any criminal investigation, coroner’s inquest, or civil claim arising out of the matters at Maple Court unless separately instructed. Should the CQC indicate that it is considering a criminal prosecution under the 2008 Act, we will discuss a separate scope and fee arrangement with you.</w:t>
      </w:r>
    </w:p>
    <w:p>
      <w:pPr>
        <w:pStyle w:val="Heading2"/>
      </w:pPr>
      <w:r>
        <w:t xml:space="preserve">2. Your team</w:t>
      </w:r>
    </w:p>
    <w:p>
      <w:pPr>
        <w:spacing w:after="120" w:line="276"/>
      </w:pPr>
      <w:r>
        <w:t xml:space="preserve">The matter is led by Sarah Whitfield (Partner). Day-to-day conduct is handled by Tom Gallagher (Associate). Sarah is responsible for the overall supervision of the matter and is your principal point of contact 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26"/>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Fee earner</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Role</w:t>
            </w:r>
          </w:p>
        </w:tc>
        <w:tc>
          <w:tcPr>
            <w:tcW w:type="dxa" w:w="2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Hourly rate (excl. VAT)</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Sarah Whitfield</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Partner</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£650</w:t>
            </w:r>
          </w:p>
        </w:tc>
      </w:tr>
      <w:tr>
        <w:trPr>
          <w:tblHeader w:val="false"/>
        </w:trPr>
        <w:tc>
          <w:tcPr>
            <w:tcW w:type="dxa" w:w="36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Tom Gallagher</w:t>
            </w:r>
          </w:p>
        </w:tc>
        <w:tc>
          <w:tcPr>
            <w:tcW w:type="dxa" w:w="32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Associate</w:t>
            </w:r>
          </w:p>
        </w:tc>
        <w:tc>
          <w:tcPr>
            <w:tcW w:type="dxa" w:w="22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£340</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Trainee / paralegal support</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As required</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£185</w:t>
            </w:r>
          </w:p>
        </w:tc>
      </w:tr>
    </w:tbl>
    <w:p>
      <w:pPr>
        <w:pStyle w:val="Heading2"/>
      </w:pPr>
      <w:r>
        <w:t xml:space="preserve">3. Fees and estimate</w:t>
      </w:r>
    </w:p>
    <w:p>
      <w:pPr>
        <w:spacing w:after="120" w:line="276"/>
      </w:pPr>
      <w:r>
        <w:t xml:space="preserve">Our fees are calculated by reference to the time spent at the rates above. Based on the scope set out at paragraph 1, we estimate fees of £35,000 to £48,000 (excluding VAT and disbursements) to take the matter through the factual accuracy and representations stages. This is an estimate only and not a fixed fee or cap; the regulatory timetable is driven by the CQC and may change. We will keep you informed if it appears the estimate will be exceeded.</w:t>
      </w:r>
    </w:p>
    <w:p>
      <w:pPr>
        <w:pStyle w:val="Heading2"/>
      </w:pPr>
      <w:r>
        <w:t xml:space="preserve">4. Confidentiality and privilege</w:t>
      </w:r>
    </w:p>
    <w:p>
      <w:pPr>
        <w:spacing w:after="120" w:line="276"/>
      </w:pPr>
      <w:r>
        <w:t xml:space="preserve">Advice given in the course of this engagement is provided for the benefit of the Group and is subject to legal professional privilege. Privilege belongs to the Group and may be lost if our advice is shared with third parties (including the CQC, local authority safeguarding teams or commissioners) without first taking our advice on waiver. We strongly recommend that internal circulation of our advice is limited to those who need to see it.</w:t>
      </w:r>
    </w:p>
    <w:p>
      <w:pPr>
        <w:pStyle w:val="Heading2"/>
      </w:pPr>
      <w:r>
        <w:t xml:space="preserve">5. Regulatory candour</w:t>
      </w:r>
    </w:p>
    <w:p>
      <w:pPr>
        <w:spacing w:after="120" w:line="276"/>
      </w:pPr>
      <w:r>
        <w:t xml:space="preserve">Nothing in this engagement is intended to cut across the Group’s statutory duty of candour or its obligation to be open and transparent with the CQC, residents and families. Where there is any tension between a litigation-style instinct to limit disclosure and the regulatory duty of candour, we will advise you specifically; the duty of candour prevails.</w:t>
      </w:r>
    </w:p>
    <w:p>
      <w:pPr>
        <w:spacing w:after="120" w:line="276"/>
      </w:pPr>
      <w:r>
        <w:t xml:space="preserve">Please confirm your agreement to these terms by countersigning the enclosed copy. We look forward to working with you on this matter.</w:t>
      </w:r>
    </w:p>
    <w:p>
      <w:pPr>
        <w:spacing w:after="80"/>
      </w:pPr>
      <w:r>
        <w:t xml:space="preserve"/>
      </w:r>
    </w:p>
    <w:p>
      <w:pPr>
        <w:spacing w:after="120" w:line="276"/>
      </w:pPr>
      <w:r>
        <w:t xml:space="preserve">Yours sincerely</w:t>
      </w:r>
    </w:p>
    <w:p>
      <w:pPr>
        <w:spacing w:after="80"/>
      </w:pPr>
      <w:r>
        <w:t xml:space="preserve"/>
      </w:r>
    </w:p>
    <w:p>
      <w:pPr>
        <w:spacing w:after="80"/>
      </w:pPr>
      <w:r>
        <w:t xml:space="preserve"/>
      </w:r>
    </w:p>
    <w:p>
      <w:pPr>
        <w:spacing w:after="120" w:line="276"/>
      </w:pPr>
      <w:r>
        <w:rPr>
          <w:b/>
          <w:bCs/>
        </w:rPr>
        <w:t xml:space="preserve">Sarah Whitfield</w:t>
      </w:r>
    </w:p>
    <w:p>
      <w:pPr>
        <w:spacing w:after="120" w:line="276"/>
      </w:pPr>
      <w:r>
        <w:t xml:space="preserve">Partner — Whitfield Carter LLP</w:t>
      </w:r>
    </w:p>
    <w:p>
      <w:pPr>
        <w:spacing w:after="120" w:line="276"/>
      </w:pPr>
      <w:r>
        <w:rPr>
          <w:i/>
          <w:iCs/>
          <w:sz w:val="18"/>
          <w:szCs w:val="18"/>
        </w:rPr>
        <w:t xml:space="preserve">Encl: Terms of business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22 Bishopsgate, London EC2N 4BQ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4"/>
      </w:pBdr>
      <w:spacing w:after="120"/>
    </w:pPr>
    <w:r>
      <w:rPr>
        <w:color w:val="595959"/>
        <w:sz w:val="16"/>
        <w:szCs w:val="16"/>
      </w:rPr>
      <w:t xml:space="preserve">22 Bishopsgate, London EC2N 4BQ  ·  Tel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1320" w:hanging="4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2026-06-29T22:09:46.879Z</dcterms:created>
  <dcterms:modified xsi:type="dcterms:W3CDTF">2026-06-29T22:09:46.880Z</dcterms:modified>
</cp:coreProperties>
</file>

<file path=docProps/custom.xml><?xml version="1.0" encoding="utf-8"?>
<Properties xmlns="http://schemas.openxmlformats.org/officeDocument/2006/custom-properties" xmlns:vt="http://schemas.openxmlformats.org/officeDocument/2006/docPropsVTypes"/>
</file>