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C00000"/>
          <w:sz w:val="18"/>
          <w:szCs w:val="18"/>
        </w:rPr>
        <w:t xml:space="preserve">PRIVILEGED &amp; CONFIDENTIAL — PREPARED FOR THE PURPOSE OF REGULATORY ADVICE</w:t>
      </w:r>
    </w:p>
    <w:p>
      <w:pPr>
        <w:pStyle w:val="Heading1"/>
      </w:pPr>
      <w:r>
        <w:t xml:space="preserve">Statement of the Registered Manager — Maple Court Care Home</w:t>
      </w:r>
    </w:p>
    <w:p>
      <w:pPr>
        <w:spacing w:after="120" w:line="276"/>
      </w:pPr>
      <w:r>
        <w:rPr>
          <w:b/>
          <w:bCs/>
        </w:rPr>
        <w:t xml:space="preserve">Name: </w:t>
      </w:r>
      <w:r>
        <w:t xml:space="preserve">Mrs Angela Foster, Registered Manager, Maple Court Care Home</w:t>
      </w:r>
    </w:p>
    <w:p>
      <w:pPr>
        <w:spacing w:after="120" w:line="276"/>
      </w:pPr>
      <w:r>
        <w:rPr>
          <w:b/>
          <w:bCs/>
        </w:rPr>
        <w:t xml:space="preserve">Date: </w:t>
      </w:r>
      <w:r>
        <w:t xml:space="preserve">9 April 2025</w:t>
      </w:r>
    </w:p>
    <w:p>
      <w:pPr>
        <w:spacing w:after="120" w:line="276"/>
      </w:pPr>
      <w:r>
        <w:t xml:space="preserve">I make this statement to assist Whitfield Carter LLP in advising Ashbourne Healthcare Group Limited. The facts are within my own knowledge or drawn from records I maintain. I understand this statement is prepared for the purpose of legal advice and is confidential.</w:t>
      </w:r>
    </w:p>
    <w:p>
      <w:pPr>
        <w:pStyle w:val="ListParagraph"/>
        <w:numPr>
          <w:ilvl w:val="0"/>
          <w:numId w:val="2"/>
        </w:numPr>
        <w:spacing w:after="120"/>
      </w:pPr>
      <w:r>
        <w:t xml:space="preserve">I have been the Registered Manager of Maple Court since September 2021. The home is registered for 48 residents across four units: Ferndale, Bluebell, Rosewood and Acorn.</w:t>
      </w:r>
    </w:p>
    <w:p>
      <w:pPr>
        <w:pStyle w:val="ListParagraph"/>
        <w:numPr>
          <w:ilvl w:val="0"/>
          <w:numId w:val="2"/>
        </w:numPr>
        <w:spacing w:after="120"/>
      </w:pPr>
      <w:r>
        <w:t xml:space="preserve">In late December 2024 we had a vacancy for a substantive night nurse on the Ferndale unit. From 3 January 2025 the vacancy was covered by an agency nurse who worked regular night shifts. The agency nurse had completed our medicines competency induction.</w:t>
      </w:r>
    </w:p>
    <w:p>
      <w:pPr>
        <w:pStyle w:val="ListParagraph"/>
        <w:numPr>
          <w:ilvl w:val="0"/>
          <w:numId w:val="2"/>
        </w:numPr>
        <w:spacing w:after="120"/>
      </w:pPr>
      <w:r>
        <w:t xml:space="preserve">Resident A (Mrs E.H.) was prescribed apixaban, an anticoagulant. On reviewing the medication administration record (MAR) after the event, I can see that two consecutive evening doses on 19 and 20 January 2025 were not signed as administered. At the time these omissions were not escalated to me or to the resident’s GP.</w:t>
      </w:r>
    </w:p>
    <w:p>
      <w:pPr>
        <w:pStyle w:val="ListParagraph"/>
        <w:numPr>
          <w:ilvl w:val="0"/>
          <w:numId w:val="2"/>
        </w:numPr>
        <w:spacing w:after="120"/>
      </w:pPr>
      <w:r>
        <w:t xml:space="preserve">On 27 January 2025 Resident A had a fall and was admitted to Colchester General Hospital. The hospital queried her anticoagulation. I was informed on 27 January 2025. On 28 January 2025 I made a safeguarding referral to Essex County Council and submitted a CQC notification under Regulation 18. I also spoke to the resident’s daughter and was open with her about what had happened, consistent with our duty of candour.</w:t>
      </w:r>
    </w:p>
    <w:p>
      <w:pPr>
        <w:pStyle w:val="ListParagraph"/>
        <w:numPr>
          <w:ilvl w:val="0"/>
          <w:numId w:val="2"/>
        </w:numPr>
        <w:spacing w:after="120"/>
      </w:pPr>
      <w:r>
        <w:t xml:space="preserve">The home had a monthly medicines audit in place. The December 2024 and January 2025 audits were completed but did not pick up the missed doses, because the audit sampled a proportion of MAR charts and Resident A’s chart was not in the sample. I accept the audit was not effective and we have since changed it to a 100% check of high-risk medicines including anticoagulants.</w:t>
      </w:r>
    </w:p>
    <w:p>
      <w:pPr>
        <w:pStyle w:val="ListParagraph"/>
        <w:numPr>
          <w:ilvl w:val="0"/>
          <w:numId w:val="2"/>
        </w:numPr>
        <w:spacing w:after="120"/>
      </w:pPr>
      <w:r>
        <w:t xml:space="preserve">Since the inspection we have: introduced an electronic medicines system (eMAR); reassessed the medicines competency of all nurses including agency staff; filled the night-nurse vacancy substantively from 14 April 2025; and arranged an external medicines audit, which took place on 28 April 2025.</w:t>
      </w:r>
    </w:p>
    <w:p>
      <w:pPr>
        <w:pStyle w:val="ListParagraph"/>
        <w:numPr>
          <w:ilvl w:val="0"/>
          <w:numId w:val="2"/>
        </w:numPr>
        <w:spacing w:after="120"/>
      </w:pPr>
      <w:r>
        <w:t xml:space="preserve">I was aware of the incident before the inspection took place, contrary to what I understand the draft report to suggest. I raised it myself through the safeguarding and notification routes.</w:t>
      </w:r>
    </w:p>
    <w:p>
      <w:pPr>
        <w:spacing w:after="80"/>
      </w:pPr>
      <w:r>
        <w:t xml:space="preserve"/>
      </w:r>
    </w:p>
    <w:p>
      <w:pPr>
        <w:spacing w:after="120" w:line="276"/>
      </w:pPr>
      <w:r>
        <w:t xml:space="preserve">Signed: ............................................   Date: 9 April 2025</w:t>
      </w:r>
    </w:p>
    <w:p>
      <w:pPr>
        <w:spacing w:after="120" w:line="276"/>
      </w:pPr>
      <w:r>
        <w:t xml:space="preserve">Angela Foster, Registered Manager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Whitfield Carter LLP  |  22 Bishopsgate, London EC2N 4BQ  |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8"/>
        <w:szCs w:val="28"/>
      </w:rPr>
      <w:t xml:space="preserve">Whitfield Carter LLP</w:t>
    </w:r>
  </w:p>
  <w:p>
    <w:pPr>
      <w:pBdr>
        <w:bottom w:val="single" w:color="1F3864" w:sz="6" w:space="4"/>
      </w:pBdr>
      <w:spacing w:after="120"/>
    </w:pPr>
    <w:r>
      <w:rPr>
        <w:color w:val="595959"/>
        <w:sz w:val="16"/>
        <w:szCs w:val="16"/>
      </w:rPr>
      <w:t xml:space="preserve">22 Bishopsgate, London EC2N 4BQ  ·  Tel +44 (0)20 7946 0500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360"/>
      </w:pPr>
    </w:lvl>
    <w:lvl w:ilvl="1" w15:tentative="1">
      <w:start w:val="1"/>
      <w:numFmt w:val="lowerLetter"/>
      <w:lvlText w:val="(%2)"/>
      <w:lvlJc w:val="left"/>
      <w:pPr>
        <w:ind w:left="1320" w:hanging="4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2026-06-29T22:09:47.020Z</dcterms:created>
  <dcterms:modified xsi:type="dcterms:W3CDTF">2026-06-29T22:09:47.020Z</dcterms:modified>
</cp:coreProperties>
</file>

<file path=docProps/custom.xml><?xml version="1.0" encoding="utf-8"?>
<Properties xmlns="http://schemas.openxmlformats.org/officeDocument/2006/custom-properties" xmlns:vt="http://schemas.openxmlformats.org/officeDocument/2006/docPropsVTypes"/>
</file>