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rPr>
          <w:b/>
          <w:bCs/>
        </w:rPr>
      </w:pPr>
      <w:r>
        <w:rPr>
          <w:b/>
          <w:bCs/>
        </w:rPr>
        <w:t xml:space="preserve">PRIVILEGED &amp; CONFIDENTIAL — ADVICE TO CLIENT</w:t>
      </w:r>
    </w:p>
    <w:p>
      <w:pPr>
        <w:spacing w:after="120"/>
      </w:pPr>
      <w:r>
        <w:t xml:space="preserve">To:  Daniel Pryce, General Counsel, Ashbourne Healthcare Group Limited</w:t>
      </w:r>
    </w:p>
    <w:p>
      <w:pPr>
        <w:spacing w:after="120"/>
      </w:pPr>
      <w:r>
        <w:t xml:space="preserve">From:  Sarah Whitfield / Tom Gallagher, Whitfield Carter LLP</w:t>
      </w:r>
    </w:p>
    <w:p>
      <w:pPr>
        <w:spacing w:after="120"/>
      </w:pPr>
      <w:r>
        <w:t xml:space="preserve">Date:  6 May 2025</w:t>
      </w:r>
    </w:p>
    <w:p>
      <w:pPr>
        <w:spacing w:after="160"/>
      </w:pPr>
      <w:r>
        <w:t xml:space="preserve">Re:  Okafor v Ashbourne Healthcare Group Ltd (2204417/2025) — merits and settlement</w:t>
      </w:r>
    </w:p>
    <w:p>
      <w:pPr>
        <w:pStyle w:val="Heading2"/>
      </w:pPr>
      <w:r>
        <w:t xml:space="preserve">1. Summary of advice</w:t>
      </w:r>
    </w:p>
    <w:p>
      <w:pPr>
        <w:spacing w:after="120"/>
      </w:pPr>
      <w:r>
        <w:t xml:space="preserve">We recommend that the Company settle this claim, and that you have authority to conclude a deal up to a gross figure in the region of £120,000 inclusive of all heads. Our opening without prejudice offer of £95,000 was made on 28 April 2025. Birchall Stone have countered at £165,000. We consider the realistic settlement zone to be £110,000–£130,000 and advise targeting a figure at or below £120,000.</w:t>
      </w:r>
    </w:p>
    <w:p>
      <w:pPr>
        <w:pStyle w:val="Heading2"/>
      </w:pPr>
      <w:r>
        <w:t xml:space="preserve">2. The litigation risk</w:t>
      </w:r>
    </w:p>
    <w:p>
      <w:pPr>
        <w:spacing w:after="120"/>
      </w:pPr>
      <w:r>
        <w:t xml:space="preserve">The ordinary unfair dismissal claim is defensible: there was a genuine redundancy situation, a proper pool, objective criteria, individual consultation and an offer of suitable alternative employment. Our principal exposure is the section 103A automatic unfair dismissal and section 47B detriment claims. These carry an UNCAPPED compensatory award and require the Company to show that the protected disclosures were not the reason, or principal reason, for dismissal. The temporal proximity between the disclosures (June–July 2024), the performance review (August 2024) and the redundancy selection (December 2024) is unhelpful, and the Tribunal will scrutinise the selection scoring closely.</w:t>
      </w:r>
    </w:p>
    <w:p>
      <w:pPr>
        <w:spacing w:after="120"/>
      </w:pPr>
      <w:r>
        <w:t xml:space="preserve">Our current assessment is that the Company has a 60–65% prospect of defeating the whistleblowing claims at a final hearing, but that the downside if it loses is severe: on the Claimant’s schedule of loss her total claim is pleaded at £191,062 (inclusive of a 25% ACAS uplift), and an uncapped award plus aggravated damages could realistically reach £180,000–£210,000, before any reputational and regulatory consequences of an adverse whistleblowing finding.</w:t>
      </w:r>
    </w:p>
    <w:p>
      <w:pPr>
        <w:pStyle w:val="Heading2"/>
      </w:pPr>
      <w:r>
        <w:t xml:space="preserve">3. Costs and management time</w:t>
      </w:r>
    </w:p>
    <w:p>
      <w:pPr>
        <w:spacing w:after="120"/>
      </w:pPr>
      <w:r>
        <w:t xml:space="preserve">Costs to a seven-day final hearing (including counsel) are estimated at £85,000–£110,000 plus VAT, which the Company will not recover even if it wins given the Tribunal’s costs regime. Senior management would also be required to give evidence over several days.</w:t>
      </w:r>
    </w:p>
    <w:p>
      <w:pPr>
        <w:pStyle w:val="Heading2"/>
      </w:pPr>
      <w:r>
        <w:t xml:space="preserve">4. Recommendation</w:t>
      </w:r>
    </w:p>
    <w:p>
      <w:pPr>
        <w:spacing w:after="120"/>
      </w:pPr>
      <w:r>
        <w:t xml:space="preserve">Weighing a ~35–40% chance of a £180,000+ adverse award and £100,000 of irrecoverable costs against a clean break at c.£120,000, settlement is clearly the commercially rational course. We recommend you authorise settlement up to £120,000 gross (with the first £30,000 paid free of tax under section 403 ITEPA 2003), an agreed reference, mutual confidentiality and non-derogatory terms, and a contribution of up to £750 plus VAT to the Claimant’s legal costs.</w:t>
      </w:r>
    </w:p>
    <w:p>
      <w:pPr>
        <w:spacing w:after="120"/>
      </w:pPr>
      <w:r>
        <w:t xml:space="preserve">Please confirm your instructions so that we can revert to Birchall Stone before the offer’s expiry.</w:t>
      </w:r>
    </w:p>
    <w:p>
      <w:pPr>
        <w:spacing w:before="160"/>
      </w:pPr>
      <w:r>
        <w:t xml:space="preserve">Sarah Whitfield / Tom Gallagher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Confidential and may be legally privileged.</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30"/>
        <w:szCs w:val="30"/>
      </w:rPr>
      <w:t xml:space="preserve">Whitfield Carter LLP</w:t>
    </w:r>
  </w:p>
  <w:p>
    <w:pPr>
      <w:jc w:val="right"/>
    </w:pPr>
    <w:r>
      <w:rPr>
        <w:color w:val="595959"/>
        <w:sz w:val="16"/>
        <w:szCs w:val="16"/>
      </w:rPr>
      <w:t xml:space="preserve">Solicitors  ·  22 Bishopsgate, London EC2N 4BQ</w:t>
    </w:r>
  </w:p>
  <w:p>
    <w:pPr>
      <w:jc w:val="right"/>
    </w:pPr>
    <w:r>
      <w:rPr>
        <w:color w:val="595959"/>
        <w:sz w:val="16"/>
        <w:szCs w:val="16"/>
      </w:rPr>
      <w:t xml:space="preserve">T +44 (0)20 7946 0820   ·   www.whitfieldcarter.com</w:t>
    </w:r>
  </w:p>
  <w:p>
    <w:pPr>
      <w:pBdr>
        <w:bottom w:val="single" w:color="1F3864"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decimal"/>
      <w:lvlText w:val="%1."/>
      <w:lvlJc w:val="left"/>
      <w:pPr>
        <w:ind w:left="600" w:hanging="60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4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2026-06-27T16:42:35.974Z</dcterms:created>
  <dcterms:modified xsi:type="dcterms:W3CDTF">2026-06-27T16:42:35.974Z</dcterms:modified>
</cp:coreProperties>
</file>

<file path=docProps/custom.xml><?xml version="1.0" encoding="utf-8"?>
<Properties xmlns="http://schemas.openxmlformats.org/officeDocument/2006/custom-properties" xmlns:vt="http://schemas.openxmlformats.org/officeDocument/2006/docPropsVTypes"/>
</file>