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IN THE EMPLOYMENT TRIBUNAL</w:t>
      </w:r>
    </w:p>
    <w:p>
      <w:pPr>
        <w:spacing w:after="120"/>
        <w:jc w:val="center"/>
      </w:pPr>
      <w:r>
        <w:t xml:space="preserve">LONDON CENTRAL</w:t>
      </w:r>
    </w:p>
    <w:p>
      <w:pPr>
        <w:spacing w:after="120"/>
        <w:jc w:val="center"/>
      </w:pPr>
      <w:r>
        <w:t xml:space="preserve">Case Number: 2204417/2025</w:t>
      </w:r>
    </w:p>
    <w:p>
      <w:pPr>
        <w:spacing w:after="80"/>
      </w:pPr>
      <w:r>
        <w:t xml:space="preserve">BETWEEN:</w:t>
      </w:r>
    </w:p>
    <w:p>
      <w:pPr>
        <w:spacing w:after="120"/>
        <w:jc w:val="center"/>
      </w:pPr>
      <w:r>
        <w:rPr>
          <w:b/>
          <w:bCs/>
        </w:rPr>
        <w:t xml:space="preserve">MS PRIYA OKAFOR</w:t>
      </w:r>
    </w:p>
    <w:p>
      <w:pPr>
        <w:spacing w:after="40"/>
        <w:jc w:val="right"/>
      </w:pPr>
      <w:r>
        <w:t xml:space="preserve">Claimant</w:t>
      </w:r>
    </w:p>
    <w:p>
      <w:pPr>
        <w:spacing w:after="120"/>
        <w:jc w:val="center"/>
      </w:pPr>
      <w:r>
        <w:t xml:space="preserve">and</w:t>
      </w:r>
    </w:p>
    <w:p>
      <w:pPr>
        <w:spacing w:after="120"/>
        <w:jc w:val="center"/>
      </w:pPr>
      <w:r>
        <w:rPr>
          <w:b/>
          <w:bCs/>
        </w:rPr>
        <w:t xml:space="preserve">ASHBOURNE HEALTHCARE GROUP LIMITED</w:t>
      </w:r>
    </w:p>
    <w:p>
      <w:pPr>
        <w:spacing w:after="160"/>
        <w:jc w:val="right"/>
      </w:pPr>
      <w:r>
        <w:t xml:space="preserve">Respondent</w:t>
      </w:r>
    </w:p>
    <w:p>
      <w:pPr>
        <w:spacing w:after="200"/>
        <w:jc w:val="center"/>
      </w:pPr>
      <w:r>
        <w:rPr>
          <w:b/>
          <w:bCs/>
          <w:sz w:val="28"/>
          <w:szCs w:val="28"/>
        </w:rPr>
        <w:t xml:space="preserve">GROUNDS OF RESISTANCE</w:t>
      </w:r>
    </w:p>
    <w:p>
      <w:pPr>
        <w:pStyle w:val="Heading2"/>
      </w:pPr>
      <w:r>
        <w:t xml:space="preserve">Introduction</w:t>
      </w:r>
    </w:p>
    <w:p>
      <w:pPr>
        <w:pStyle w:val="ListParagraph"/>
        <w:numPr>
          <w:ilvl w:val="0"/>
          <w:numId w:val="2"/>
        </w:numPr>
        <w:spacing w:after="100"/>
      </w:pPr>
      <w:r>
        <w:t xml:space="preserve">The Respondent is a provider of regulated residential and domiciliary care services operating 22 registered locations across the East of England. The Claimant was employed by the Respondent as Regional Operations Director (East) from 14 May 2018 until the effective date of termination of 31 January 2025. Save as expressly admitted below, each and every allegation in the claim is denied and the Claimant is put to strict proof.</w:t>
      </w:r>
    </w:p>
    <w:p>
      <w:pPr>
        <w:pStyle w:val="ListParagraph"/>
        <w:numPr>
          <w:ilvl w:val="0"/>
          <w:numId w:val="2"/>
        </w:numPr>
        <w:spacing w:after="100"/>
      </w:pPr>
      <w:r>
        <w:t xml:space="preserve">It is admitted that the Claimant was dismissed and that the reason for dismissal was redundancy, a potentially fair reason under section 98(2)(c) of the Employment Rights Act 1996 (“the Act”). It is denied that the Claimant was dismissed for making protected disclosures or that she was subjected to any detriment on that ground.</w:t>
      </w:r>
    </w:p>
    <w:p>
      <w:pPr>
        <w:pStyle w:val="Heading2"/>
      </w:pPr>
      <w:r>
        <w:t xml:space="preserve">The reason for dismissal: redundancy</w:t>
      </w:r>
    </w:p>
    <w:p>
      <w:pPr>
        <w:pStyle w:val="ListParagraph"/>
        <w:numPr>
          <w:ilvl w:val="0"/>
          <w:numId w:val="2"/>
        </w:numPr>
        <w:spacing w:after="100"/>
      </w:pPr>
      <w:r>
        <w:t xml:space="preserve">In the autumn of 2024 the Respondent undertook a strategic review of its regional operating model. Following the loss of two block-contract framework agreements with local-authority commissioners and a Board decision of 19 November 2024, the Respondent resolved to consolidate its separate East and Central regional management structures into a single “Eastern” region. The effect was to reduce the number of Regional Operations Director posts from three to two. This gave rise to a genuine redundancy situation within section 139 of the Act.</w:t>
      </w:r>
    </w:p>
    <w:p>
      <w:pPr>
        <w:pStyle w:val="ListParagraph"/>
        <w:numPr>
          <w:ilvl w:val="0"/>
          <w:numId w:val="2"/>
        </w:numPr>
        <w:spacing w:after="100"/>
      </w:pPr>
      <w:r>
        <w:t xml:space="preserve">The Claimant and the two other Regional Operations Directors were placed in a single selection pool and assessed against objective criteria (length of service, qualifications, performance, breadth of operational portfolio and disciplinary record). The Claimant scored lowest of the three. She was informed she was provisionally selected on 9 December 2024 and a 30-day individual consultation followed, comprising three consultation meetings on 16 December 2024, 8 January 2025 and 22 January 2025.</w:t>
      </w:r>
    </w:p>
    <w:p>
      <w:pPr>
        <w:pStyle w:val="ListParagraph"/>
        <w:numPr>
          <w:ilvl w:val="0"/>
          <w:numId w:val="2"/>
        </w:numPr>
        <w:spacing w:after="100"/>
      </w:pPr>
      <w:r>
        <w:t xml:space="preserve">The Respondent considered alternative employment. The Claimant was offered the role of Head of Quality and Compliance (Eastern), at a salary of £78,000, which she declined on 27 January 2025. No other suitable alternative vacancy existed. The Claimant was given notice of dismissal by reason of redundancy on 24 January 2025 with an effective date of termination of 31 January 2025, and was paid in lieu of notice and a statutory redundancy payment.</w:t>
      </w:r>
    </w:p>
    <w:p>
      <w:pPr>
        <w:pStyle w:val="Heading2"/>
      </w:pPr>
      <w:r>
        <w:t xml:space="preserve">The alleged protected disclosures (sections 43A–43B)</w:t>
      </w:r>
    </w:p>
    <w:p>
      <w:pPr>
        <w:pStyle w:val="ListParagraph"/>
        <w:numPr>
          <w:ilvl w:val="0"/>
          <w:numId w:val="2"/>
        </w:numPr>
        <w:spacing w:after="100"/>
      </w:pPr>
      <w:r>
        <w:t xml:space="preserve">It is admitted that in June and July 2024 the Claimant raised concerns about staffing levels at Oakfield Lodge and Bramwell House. The Respondent does not, for the purposes of these proceedings, dispute that those communications were capable of being qualifying disclosures within section 43B of the Act. It is denied that any such disclosure was the reason, or principal reason, for the Claimant’s dismissal.</w:t>
      </w:r>
    </w:p>
    <w:p>
      <w:pPr>
        <w:pStyle w:val="ListParagraph"/>
        <w:numPr>
          <w:ilvl w:val="0"/>
          <w:numId w:val="2"/>
        </w:numPr>
        <w:spacing w:after="100"/>
      </w:pPr>
      <w:r>
        <w:t xml:space="preserve">The matters raised by the Claimant were investigated promptly by the Respondent’s Director of Nursing, additional agency cover was commissioned at both homes, and the Care Quality Commission was notified by the Respondent itself on 9 July 2024. The Claimant’s concerns were therefore acted upon and resolved well before any redundancy proposal arose. The decision-maker on the redundancy, the Chief Executive Mr Iqbal Rahman, was not the subject of any of the Claimant’s disclosures.</w:t>
      </w:r>
    </w:p>
    <w:p>
      <w:pPr>
        <w:pStyle w:val="Heading2"/>
      </w:pPr>
      <w:r>
        <w:t xml:space="preserve">Response to the alleged detriments</w:t>
      </w:r>
    </w:p>
    <w:p>
      <w:pPr>
        <w:pStyle w:val="ListParagraph"/>
        <w:numPr>
          <w:ilvl w:val="0"/>
          <w:numId w:val="2"/>
        </w:numPr>
        <w:spacing w:after="100"/>
      </w:pPr>
      <w:r>
        <w:t xml:space="preserve">As to the detriments alleged at paragraph 14 of the Particulars of Claim: the Claimant’s removal from the safeguarding steering group followed a routine annual rotation of membership; her absence from the August offsite was because it post-dated her booked annual leave; and the performance review was commenced as part of an organisation-wide review of all senior managers and not in response to any disclosure. Each alleged detriment is denied on the facts and, in any event, it is denied that any act or deliberate failure to act was “on the ground that” the Claimant made a protected disclosure.</w:t>
      </w:r>
    </w:p>
    <w:p>
      <w:pPr>
        <w:pStyle w:val="Heading2"/>
      </w:pPr>
      <w:r>
        <w:t xml:space="preserve">Time limits</w:t>
      </w:r>
    </w:p>
    <w:p>
      <w:pPr>
        <w:pStyle w:val="ListParagraph"/>
        <w:numPr>
          <w:ilvl w:val="0"/>
          <w:numId w:val="2"/>
        </w:numPr>
        <w:spacing w:after="100"/>
      </w:pPr>
      <w:r>
        <w:t xml:space="preserve">Insofar as the Claimant complains of detriments occurring before 27 November 2024 (being three months, less the Acas early conciliation extension, before presentation of the claim on 26 February 2025), the Respondent avers that such complaints are out of time and that it was reasonably practicable for them to have been presented in time. The Tribunal is invited to dismiss those complaints for want of jurisdiction.</w:t>
      </w:r>
    </w:p>
    <w:p>
      <w:pPr>
        <w:pStyle w:val="Heading2"/>
      </w:pPr>
      <w:r>
        <w:t xml:space="preserve">Remedy</w:t>
      </w:r>
    </w:p>
    <w:p>
      <w:pPr>
        <w:pStyle w:val="ListParagraph"/>
        <w:numPr>
          <w:ilvl w:val="0"/>
          <w:numId w:val="2"/>
        </w:numPr>
        <w:spacing w:after="100"/>
      </w:pPr>
      <w:r>
        <w:t xml:space="preserve">If, which is denied, the Claimant succeeds, the Respondent avers that any compensatory award should be reduced to reflect: (a) the Claimant’s failure to mitigate her loss; (b) the fact that the Claimant would have been fairly dismissed in any event within a short period (a “Polkey” reduction); and (c) the statutory cap on the compensatory award for ordinary unfair dismissal. The redundancy payment and pay in lieu of notice already made fall to be set off against any award.</w:t>
      </w:r>
    </w:p>
    <w:p>
      <w:pPr>
        <w:pStyle w:val="ListParagraph"/>
        <w:numPr>
          <w:ilvl w:val="0"/>
          <w:numId w:val="2"/>
        </w:numPr>
        <w:spacing w:after="100"/>
      </w:pPr>
      <w:r>
        <w:t xml:space="preserve">In the premises the Respondent invites the Tribunal to dismiss the claim in its entirety.</w:t>
      </w:r>
    </w:p>
    <w:p>
      <w:pPr>
        <w:spacing w:after="80"/>
      </w:pPr>
    </w:p>
    <w:p>
      <w:pPr>
        <w:spacing w:before="200"/>
      </w:pPr>
      <w:r>
        <w:t xml:space="preserve">Served by Whitfield Carter LLP, solicitors for the Respondent, 22 Bishopsgate, London EC2N 4BQ.</w:t>
      </w:r>
    </w:p>
    <w:p>
      <w:pPr>
        <w:spacing w:after="120"/>
      </w:pPr>
      <w:r>
        <w:t xml:space="preserve">Dated: 24 March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2026-06-27T16:42:35.954Z</dcterms:created>
  <dcterms:modified xsi:type="dcterms:W3CDTF">2026-06-27T16:42:35.954Z</dcterms:modified>
</cp:coreProperties>
</file>

<file path=docProps/custom.xml><?xml version="1.0" encoding="utf-8"?>
<Properties xmlns="http://schemas.openxmlformats.org/officeDocument/2006/custom-properties" xmlns:vt="http://schemas.openxmlformats.org/officeDocument/2006/docPropsVTypes"/>
</file>