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Our ref: SW/AHG/2204417</w:t>
      </w:r>
    </w:p>
    <w:p>
      <w:pPr>
        <w:spacing w:after="200"/>
      </w:pPr>
      <w:r>
        <w:t xml:space="preserve">Date: 7 March 2025</w:t>
      </w:r>
    </w:p>
    <w:p>
      <w:pPr>
        <w:spacing w:after="120"/>
      </w:pPr>
      <w:r>
        <w:t xml:space="preserve">Mr Daniel Pryce</w:t>
      </w:r>
    </w:p>
    <w:p>
      <w:pPr>
        <w:spacing w:after="120"/>
      </w:pPr>
      <w:r>
        <w:t xml:space="preserve">General Counsel</w:t>
      </w:r>
    </w:p>
    <w:p>
      <w:pPr>
        <w:spacing w:after="120"/>
      </w:pPr>
      <w:r>
        <w:t xml:space="preserve">Ashbourne Healthcare Group Limited</w:t>
      </w:r>
    </w:p>
    <w:p>
      <w:pPr>
        <w:spacing w:after="200"/>
      </w:pPr>
      <w:r>
        <w:t xml:space="preserve">Friars Gate, 1010 Cambourne Business Park, Cambridge CB23 6DP</w:t>
      </w:r>
    </w:p>
    <w:p>
      <w:pPr>
        <w:spacing w:after="120"/>
      </w:pPr>
      <w:r>
        <w:rPr>
          <w:b/>
          <w:bCs/>
        </w:rPr>
        <w:t xml:space="preserve">Dear Daniel</w:t>
      </w:r>
    </w:p>
    <w:p>
      <w:pPr>
        <w:spacing w:after="120"/>
      </w:pPr>
      <w:r>
        <w:rPr>
          <w:b/>
          <w:bCs/>
        </w:rPr>
        <w:t xml:space="preserve">Employment Tribunal claim by Ms Priya Okafor — Case No. 2204417/2025</w:t>
      </w:r>
    </w:p>
    <w:p>
      <w:pPr>
        <w:spacing w:after="120"/>
      </w:pPr>
      <w:r>
        <w:t xml:space="preserve">Thank you for instructing Whitfield Carter LLP to act for Ashbourne Healthcare Group Limited (“the Company”) in connection with the Employment Tribunal proceedings brought against it by Ms Priya Okafor, the Company’s former Regional Operations Director (East). This letter, with the enclosed standard terms of business, sets out the basis on which we will act.</w:t>
      </w:r>
    </w:p>
    <w:p>
      <w:pPr>
        <w:pStyle w:val="Heading2"/>
      </w:pPr>
      <w:r>
        <w:t xml:space="preserve">Scope of work</w:t>
      </w:r>
    </w:p>
    <w:p>
      <w:pPr>
        <w:spacing w:after="120"/>
      </w:pPr>
      <w:r>
        <w:t xml:space="preserve">We are instructed to advise on and conduct the defence of the claim presented to the London Central Employment Tribunal on 26 February 2025. The claim, as pleaded, comprises: (a) automatically unfair dismissal under section 103A of the Employment Rights Act 1996 (dismissal for making protected disclosures); (b) detriment on the ground of protected disclosure under section 47B of the same Act; (c) “ordinary” unfair dismissal under section 98; and (d) a claim for notice pay. Our retainer covers preparation of the response (form ET3 and grounds of resistance), case management, disclosure, witness evidence, instruction of counsel, and representation at any preliminary and final hearings, together with the conduct of any settlement discussions or judicial mediation.</w:t>
      </w:r>
    </w:p>
    <w:p>
      <w:pPr>
        <w:pStyle w:val="Heading2"/>
      </w:pPr>
      <w:r>
        <w:t xml:space="preserve">The team</w:t>
      </w:r>
    </w:p>
    <w:p>
      <w:pPr>
        <w:spacing w:after="120"/>
      </w:pPr>
      <w:r>
        <w:t xml:space="preserve">I, Sarah Whitfield (Partner), will have overall conduct of the matter. Tom Gallagher (Associate) will handle the day-to-day running of the case, with support from Elena Marchetti (Associate). We propose to instruct Ms Harriet Vance of Eldon Chambers as counsel if the matter proceeds to a final hearing.</w:t>
      </w:r>
    </w:p>
    <w:p>
      <w:pPr>
        <w:pStyle w:val="Heading2"/>
      </w:pPr>
      <w:r>
        <w:t xml:space="preserve">Fees</w:t>
      </w:r>
    </w:p>
    <w:p>
      <w:pPr>
        <w:spacing w:after="120"/>
      </w:pPr>
      <w:r>
        <w:t xml:space="preserve">Our work will be charged on a time-spent basis at the following hourly rates (exclusive of VAT): Partner £560; Associate £340; Trainee/Paralegal £180. We currently estimate fees to the conclusion of the preliminary hearing in the region of £35,000 to £45,000 plus VAT and disbursements, although this is necessarily an estimate and the conduct of the Claimant will materially affect it. Counsel’s fees and any expert or mediation costs are disbursements payable in addition.</w:t>
      </w:r>
    </w:p>
    <w:p>
      <w:pPr>
        <w:pStyle w:val="Heading2"/>
      </w:pPr>
      <w:r>
        <w:t xml:space="preserve">Tribunal costs regime</w:t>
      </w:r>
    </w:p>
    <w:p>
      <w:pPr>
        <w:spacing w:after="120"/>
      </w:pPr>
      <w:r>
        <w:t xml:space="preserve">You should be aware that, unlike the civil courts, the Employment Tribunal does not generally award costs to the successful party. Costs orders are the exception and are made only where a party (or its representative) has acted vexatiously, abusively, disruptively or otherwise unreasonably, or where a claim or response had no reasonable prospect of success. The Company should therefore expect to bear its own legal costs irrespective of outcome, which is a significant factor in the commercial assessment of any settlement.</w:t>
      </w:r>
    </w:p>
    <w:p>
      <w:pPr>
        <w:pStyle w:val="Heading2"/>
      </w:pPr>
      <w:r>
        <w:t xml:space="preserve">Funding and settlement</w:t>
      </w:r>
    </w:p>
    <w:p>
      <w:pPr>
        <w:spacing w:after="120"/>
      </w:pPr>
      <w:r>
        <w:t xml:space="preserve">We will keep the commercial merits of early resolution under continuous review. Given the whistleblowing allegations, which carry an uncapped compensatory award and reputational exposure, we will advise on the costs-benefit of a negotiated exit at each stage. Any settlement of Employment Tribunal proceedings must be recorded either in a COT3 agreement concluded through Acas or in a settlement agreement complying with section 203 of the Employment Rights Act 1996.</w:t>
      </w:r>
    </w:p>
    <w:p>
      <w:pPr>
        <w:spacing w:after="120"/>
      </w:pPr>
      <w:r>
        <w:t xml:space="preserve">Please confirm your agreement to these terms by returning a signed copy of the enclosed acknowledgement. We look forward to working with you.</w:t>
      </w:r>
    </w:p>
    <w:p>
      <w:pPr>
        <w:spacing w:after="240" w:before="160"/>
      </w:pPr>
      <w:r>
        <w:t xml:space="preserve">Yours sincerely</w:t>
      </w:r>
    </w:p>
    <w:p>
      <w:pPr>
        <w:spacing w:after="120"/>
      </w:pPr>
      <w:r>
        <w:rPr>
          <w:b/>
          <w:bCs/>
        </w:rPr>
        <w:t xml:space="preserve">Sarah Whitfield</w:t>
      </w:r>
    </w:p>
    <w:p>
      <w:pPr>
        <w:spacing w:after="120"/>
      </w:pPr>
      <w:r>
        <w:t xml:space="preserve">Partner — Employment &amp; Litigation</w:t>
      </w:r>
    </w:p>
    <w:p>
      <w:pPr>
        <w:spacing w:after="120"/>
      </w:pPr>
      <w:r>
        <w:t xml:space="preserve">Whitfield Carter LLP</w:t>
      </w:r>
    </w:p>
    <w:p>
      <w:pPr>
        <w:spacing w:after="120"/>
      </w:pPr>
      <w:r>
        <w:t xml:space="preserve">sarah.whitfield@whitfieldcarter.com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2026-06-27T16:42:35.853Z</dcterms:created>
  <dcterms:modified xsi:type="dcterms:W3CDTF">2026-06-27T16:42:35.853Z</dcterms:modified>
</cp:coreProperties>
</file>

<file path=docProps/custom.xml><?xml version="1.0" encoding="utf-8"?>
<Properties xmlns="http://schemas.openxmlformats.org/officeDocument/2006/custom-properties" xmlns:vt="http://schemas.openxmlformats.org/officeDocument/2006/docPropsVTypes"/>
</file>