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Priya Okafor</w:t>
      </w:r>
    </w:p>
    <w:p>
      <w:pPr>
        <w:spacing w:after="160"/>
      </w:pPr>
      <w:r>
        <w:t xml:space="preserve">14 Marlow Court, Cambridge CB4 2HN</w:t>
      </w:r>
    </w:p>
    <w:p>
      <w:pPr>
        <w:spacing w:after="120"/>
      </w:pPr>
      <w:r>
        <w:t xml:space="preserve">BY EMAIL AND POST</w:t>
      </w:r>
    </w:p>
    <w:p>
      <w:pPr>
        <w:spacing w:after="120"/>
      </w:pPr>
      <w:r>
        <w:t xml:space="preserve">Mr Daniel Pryce, General Counsel</w:t>
      </w:r>
    </w:p>
    <w:p>
      <w:pPr>
        <w:spacing w:after="160"/>
      </w:pPr>
      <w:r>
        <w:t xml:space="preserve">Ashbourne Healthcare Group Limited</w:t>
      </w:r>
    </w:p>
    <w:p>
      <w:pPr>
        <w:spacing w:after="200"/>
      </w:pPr>
      <w:r>
        <w:t xml:space="preserve">9 September 2024</w:t>
      </w:r>
    </w:p>
    <w:p>
      <w:pPr>
        <w:spacing w:after="120"/>
      </w:pPr>
      <w:r>
        <w:rPr>
          <w:b/>
          <w:bCs/>
        </w:rPr>
        <w:t xml:space="preserve">Dear Mr Pryce</w:t>
      </w:r>
    </w:p>
    <w:p>
      <w:pPr>
        <w:spacing w:after="120"/>
      </w:pPr>
      <w:r>
        <w:rPr>
          <w:b/>
          <w:bCs/>
        </w:rPr>
        <w:t xml:space="preserve">Formal grievance — protected disclosures and detrimental treatment</w:t>
      </w:r>
    </w:p>
    <w:p>
      <w:pPr>
        <w:spacing w:after="120"/>
      </w:pPr>
      <w:r>
        <w:t xml:space="preserve">I am writing to raise a formal grievance under the Company’s Grievance Procedure. This grievance concerns the way I have been treated since I raised serious concerns about resident safety and regulatory compliance at the Company’s East region care homes.</w:t>
      </w:r>
    </w:p>
    <w:p>
      <w:pPr>
        <w:pStyle w:val="Heading2"/>
      </w:pPr>
      <w:r>
        <w:t xml:space="preserve">My disclosures</w:t>
      </w:r>
    </w:p>
    <w:p>
      <w:pPr>
        <w:spacing w:after="120"/>
      </w:pPr>
      <w:r>
        <w:t xml:space="preserve">On 3 June 2024, and again in writing on 18 June 2024, I reported to the Chief Operating Officer, Ms Lorna Keane, that staffing levels at Oakfield Lodge and Bramwell House had fallen below the minimums recorded in the homes’ Statements of Purpose and required by their CQC registration, and that night-shift ratios had on several occasions breached the dependency assessments for residents. I stated that I believed this exposed residents to a risk to their health and safety and that the Company was failing to comply with its legal obligations under the Health and Social Care Act 2008 (Regulated Activities) Regulations 2014.</w:t>
      </w:r>
    </w:p>
    <w:p>
      <w:pPr>
        <w:spacing w:after="120"/>
      </w:pPr>
      <w:r>
        <w:t xml:space="preserve">On 2 July 2024 I escalated, in writing to you and to the Chief Executive, that agency-staffing returns submitted to the regional commissioners appeared to overstate substantive staffing and that I was not prepared to sign off the quarter’s compliance return in its current form. I made each of these disclosures in good faith and in the reasonable belief that they were in the public interest.</w:t>
      </w:r>
    </w:p>
    <w:p>
      <w:pPr>
        <w:pStyle w:val="Heading2"/>
      </w:pPr>
      <w:r>
        <w:t xml:space="preserve">The detriment I have suffered</w:t>
      </w:r>
    </w:p>
    <w:p>
      <w:pPr>
        <w:spacing w:after="120"/>
      </w:pPr>
      <w:r>
        <w:t xml:space="preserve">Since making those disclosures I have been: (i) removed from the regional safeguarding steering group with effect from 15 July 2024; (ii) excluded from the August leadership offsite at which the East region restructuring was discussed; (iii) the subject of a sudden and unexplained “performance review” commenced on 12 August 2024, the first negative assessment in my six years with the Company; and (iv) told informally by Ms Keane on 22 August 2024 that my role was “under review” as part of a restructuring. I believe these matters are a direct response to my disclosures and amount to unlawful detriment.</w:t>
      </w:r>
    </w:p>
    <w:p>
      <w:pPr>
        <w:spacing w:after="120"/>
      </w:pPr>
      <w:r>
        <w:t xml:space="preserve">I ask that this grievance be investigated by someone independent of Ms Keane, that I be reinstated to the safeguarding steering group, and that the performance review be suspended pending the outcome. I reserve all of my legal rights, including under the Employment Rights Act 1996.</w:t>
      </w:r>
    </w:p>
    <w:p>
      <w:pPr>
        <w:spacing w:after="200" w:before="160"/>
      </w:pPr>
      <w:r>
        <w:t xml:space="preserve">Yours sincerely</w:t>
      </w:r>
    </w:p>
    <w:p>
      <w:pPr>
        <w:spacing w:after="120"/>
      </w:pPr>
      <w:r>
        <w:rPr>
          <w:b/>
          <w:bCs/>
        </w:rPr>
        <w:t xml:space="preserve">Priya Okafor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2026-06-27T16:42:35.913Z</dcterms:created>
  <dcterms:modified xsi:type="dcterms:W3CDTF">2026-06-27T16:42:35.913Z</dcterms:modified>
</cp:coreProperties>
</file>

<file path=docProps/custom.xml><?xml version="1.0" encoding="utf-8"?>
<Properties xmlns="http://schemas.openxmlformats.org/officeDocument/2006/custom-properties" xmlns:vt="http://schemas.openxmlformats.org/officeDocument/2006/docPropsVTypes"/>
</file>