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CONTRACT OF EMPLOYMENT</w:t>
      </w:r>
    </w:p>
    <w:p>
      <w:pPr>
        <w:spacing w:after="200"/>
        <w:jc w:val="center"/>
      </w:pPr>
      <w:r>
        <w:t xml:space="preserve">DATED 14 May 2018</w:t>
      </w:r>
    </w:p>
    <w:p>
      <w:pPr>
        <w:spacing w:after="80"/>
      </w:pPr>
      <w:r>
        <w:t xml:space="preserve">This Agreement is made between:</w:t>
      </w:r>
    </w:p>
    <w:p>
      <w:pPr>
        <w:pStyle w:val="ListParagraph"/>
        <w:numPr>
          <w:ilvl w:val="0"/>
          <w:numId w:val="2"/>
        </w:numPr>
        <w:spacing w:after="100"/>
      </w:pPr>
      <w:r>
        <w:t xml:space="preserve">ASHBOURNE HEALTHCARE GROUP LIMITED, a company registered in England and Wales (number 06721904) whose registered office is at Friars Gate, 1010 Cambourne Business Park, Cambridge CB23 6DP (the “Company”); and</w:t>
      </w:r>
    </w:p>
    <w:p>
      <w:pPr>
        <w:pStyle w:val="ListParagraph"/>
        <w:numPr>
          <w:ilvl w:val="0"/>
          <w:numId w:val="2"/>
        </w:numPr>
        <w:spacing w:after="100"/>
      </w:pPr>
      <w:r>
        <w:t xml:space="preserve">PRIYA OKAFOR of 14 Marlow Court, Cambridge CB4 2HN (the “Executive”).</w:t>
      </w:r>
    </w:p>
    <w:p>
      <w:pPr>
        <w:pStyle w:val="Heading1"/>
      </w:pPr>
      <w:r>
        <w:t xml:space="preserve">1. Appointment and duties</w:t>
      </w:r>
    </w:p>
    <w:p>
      <w:pPr>
        <w:pStyle w:val="ListParagraph"/>
        <w:numPr>
          <w:ilvl w:val="0"/>
          <w:numId w:val="2"/>
        </w:numPr>
        <w:spacing w:after="100"/>
      </w:pPr>
      <w:r>
        <w:rPr>
          <w:b/>
          <w:bCs/>
        </w:rPr>
        <w:t xml:space="preserve">1.1  </w:t>
      </w:r>
      <w:r>
        <w:t xml:space="preserve">The Company employs the Executive and the Executive agrees to serve as Regional Operations Director (East) on the terms of this Agreement. The Executive’s employment began on 14 May 2018 and the Executive’s period of continuous employment began on that date. No previous employment counts towards the Executive’s period of continuous employment.</w:t>
      </w:r>
    </w:p>
    <w:p>
      <w:pPr>
        <w:pStyle w:val="ListParagraph"/>
        <w:numPr>
          <w:ilvl w:val="0"/>
          <w:numId w:val="2"/>
        </w:numPr>
        <w:spacing w:after="100"/>
      </w:pPr>
      <w:r>
        <w:rPr>
          <w:b/>
          <w:bCs/>
        </w:rPr>
        <w:t xml:space="preserve">1.2  </w:t>
      </w:r>
      <w:r>
        <w:t xml:space="preserve">The Executive shall report to the Chief Operating Officer and shall be responsible for the operational management, regulatory compliance and financial performance of the Company’s care homes and domiciliary services in the East region.</w:t>
      </w:r>
    </w:p>
    <w:p>
      <w:pPr>
        <w:pStyle w:val="ListParagraph"/>
        <w:numPr>
          <w:ilvl w:val="0"/>
          <w:numId w:val="2"/>
        </w:numPr>
        <w:spacing w:after="100"/>
      </w:pPr>
      <w:r>
        <w:rPr>
          <w:b/>
          <w:bCs/>
        </w:rPr>
        <w:t xml:space="preserve">1.3  </w:t>
      </w:r>
      <w:r>
        <w:t xml:space="preserve">The Executive shall devote the whole of her working time, attention and abilities to the business of the Company and shall faithfully and diligently perform her duties, and use her best endeavours to promote, protect and develop the interests of the Company.</w:t>
      </w:r>
    </w:p>
    <w:p>
      <w:pPr>
        <w:pStyle w:val="Heading1"/>
      </w:pPr>
      <w:r>
        <w:t xml:space="preserve">2. Place of work and hours</w:t>
      </w:r>
    </w:p>
    <w:p>
      <w:pPr>
        <w:pStyle w:val="ListParagraph"/>
        <w:numPr>
          <w:ilvl w:val="0"/>
          <w:numId w:val="2"/>
        </w:numPr>
        <w:spacing w:after="100"/>
      </w:pPr>
      <w:r>
        <w:rPr>
          <w:b/>
          <w:bCs/>
        </w:rPr>
        <w:t xml:space="preserve">2.1  </w:t>
      </w:r>
      <w:r>
        <w:t xml:space="preserve">The Executive’s normal place of work is the Company’s East region office at Cambourne Business Park, Cambridge, although the Executive will be required to travel to the Company’s registered locations and elsewhere as the proper performance of her duties requires.</w:t>
      </w:r>
    </w:p>
    <w:p>
      <w:pPr>
        <w:pStyle w:val="ListParagraph"/>
        <w:numPr>
          <w:ilvl w:val="0"/>
          <w:numId w:val="2"/>
        </w:numPr>
        <w:spacing w:after="100"/>
      </w:pPr>
      <w:r>
        <w:rPr>
          <w:b/>
          <w:bCs/>
        </w:rPr>
        <w:t xml:space="preserve">2.2  </w:t>
      </w:r>
      <w:r>
        <w:t xml:space="preserve">The Executive’s normal working hours are 9.00am to 5.30pm Monday to Friday. The Executive is a senior manager and is required to work such additional hours as are necessary for the proper performance of her duties, for which no further remuneration is payable. By signing this Agreement the Executive agrees that regulation 4(1) of the Working Time Regulations 1998 does not apply to her.</w:t>
      </w:r>
    </w:p>
    <w:p>
      <w:pPr>
        <w:pStyle w:val="Heading1"/>
      </w:pPr>
      <w:r>
        <w:t xml:space="preserve">3. Remuneration</w:t>
      </w:r>
    </w:p>
    <w:p>
      <w:pPr>
        <w:pStyle w:val="ListParagraph"/>
        <w:numPr>
          <w:ilvl w:val="0"/>
          <w:numId w:val="2"/>
        </w:numPr>
        <w:spacing w:after="100"/>
      </w:pPr>
      <w:r>
        <w:rPr>
          <w:b/>
          <w:bCs/>
        </w:rPr>
        <w:t xml:space="preserve">3.1  </w:t>
      </w:r>
      <w:r>
        <w:t xml:space="preserve">The Company shall pay the Executive a salary of £92,000 per annum (the “Salary”), which shall accrue from day to day and be payable monthly in arrears by equal instalments on or about the 28th day of each month. The Salary shall be reviewed (but not necessarily increased) on 1 April each year.</w:t>
      </w:r>
    </w:p>
    <w:p>
      <w:pPr>
        <w:pStyle w:val="ListParagraph"/>
        <w:numPr>
          <w:ilvl w:val="0"/>
          <w:numId w:val="2"/>
        </w:numPr>
        <w:spacing w:after="100"/>
      </w:pPr>
      <w:r>
        <w:rPr>
          <w:b/>
          <w:bCs/>
        </w:rPr>
        <w:t xml:space="preserve">3.2  </w:t>
      </w:r>
      <w:r>
        <w:t xml:space="preserve">The Executive shall be eligible to participate in the Company’s annual discretionary bonus scheme, with an on-target bonus of 20% of Salary, subject to the rules of the scheme as amended from time to time. Payment of any bonus is entirely at the discretion of the Board and is conditional on the Executive being employed and not under notice at the payment date.</w:t>
      </w:r>
    </w:p>
    <w:p>
      <w:pPr>
        <w:pStyle w:val="Heading1"/>
      </w:pPr>
      <w:r>
        <w:t xml:space="preserve">4. Pension and benefits</w:t>
      </w:r>
    </w:p>
    <w:p>
      <w:pPr>
        <w:pStyle w:val="ListParagraph"/>
        <w:numPr>
          <w:ilvl w:val="0"/>
          <w:numId w:val="2"/>
        </w:numPr>
        <w:spacing w:after="100"/>
      </w:pPr>
      <w:r>
        <w:rPr>
          <w:b/>
          <w:bCs/>
        </w:rPr>
        <w:t xml:space="preserve">4.1  </w:t>
      </w:r>
      <w:r>
        <w:t xml:space="preserve">The Company shall make pension contributions equal to 6% of Salary to the Company’s group personal pension scheme, subject to the Executive contributing at least 4%.</w:t>
      </w:r>
    </w:p>
    <w:p>
      <w:pPr>
        <w:pStyle w:val="ListParagraph"/>
        <w:numPr>
          <w:ilvl w:val="0"/>
          <w:numId w:val="2"/>
        </w:numPr>
        <w:spacing w:after="100"/>
      </w:pPr>
      <w:r>
        <w:rPr>
          <w:b/>
          <w:bCs/>
        </w:rPr>
        <w:t xml:space="preserve">4.2  </w:t>
      </w:r>
      <w:r>
        <w:t xml:space="preserve">The Executive shall be entitled to private medical insurance for herself and her immediate family, permanent health insurance and life assurance of four times Salary, in each case subject to the rules of the relevant scheme and the Company’s right to vary or withdraw such benefits.</w:t>
      </w:r>
    </w:p>
    <w:p>
      <w:pPr>
        <w:pStyle w:val="ListParagraph"/>
        <w:numPr>
          <w:ilvl w:val="0"/>
          <w:numId w:val="2"/>
        </w:numPr>
        <w:spacing w:after="100"/>
      </w:pPr>
      <w:r>
        <w:rPr>
          <w:b/>
          <w:bCs/>
        </w:rPr>
        <w:t xml:space="preserve">4.3  </w:t>
      </w:r>
      <w:r>
        <w:t xml:space="preserve">The Company shall provide a car allowance of £7,200 per annum, payable monthly with Salary.</w:t>
      </w:r>
    </w:p>
    <w:p>
      <w:pPr>
        <w:pStyle w:val="Heading1"/>
      </w:pPr>
      <w:r>
        <w:t xml:space="preserve">5. Holidays</w:t>
      </w:r>
    </w:p>
    <w:p>
      <w:pPr>
        <w:pStyle w:val="ListParagraph"/>
        <w:numPr>
          <w:ilvl w:val="0"/>
          <w:numId w:val="2"/>
        </w:numPr>
        <w:spacing w:after="100"/>
      </w:pPr>
      <w:r>
        <w:rPr>
          <w:b/>
          <w:bCs/>
        </w:rPr>
        <w:t xml:space="preserve">5.1  </w:t>
      </w:r>
      <w:r>
        <w:t xml:space="preserve">The Executive is entitled to 28 days’ paid holiday in each holiday year (1 January to 31 December) in addition to the usual public holidays in England and Wales. A maximum of five days’ untaken holiday may be carried forward with the prior written consent of the Chief Operating Officer.</w:t>
      </w:r>
    </w:p>
    <w:p>
      <w:pPr>
        <w:pStyle w:val="Heading1"/>
      </w:pPr>
      <w:r>
        <w:t xml:space="preserve">6. Sickness</w:t>
      </w:r>
    </w:p>
    <w:p>
      <w:pPr>
        <w:pStyle w:val="ListParagraph"/>
        <w:numPr>
          <w:ilvl w:val="0"/>
          <w:numId w:val="2"/>
        </w:numPr>
        <w:spacing w:after="100"/>
      </w:pPr>
      <w:r>
        <w:rPr>
          <w:b/>
          <w:bCs/>
        </w:rPr>
        <w:t xml:space="preserve">6.1  </w:t>
      </w:r>
      <w:r>
        <w:t xml:space="preserve">Subject to the Executive complying with the Company’s sickness absence procedure, the Company shall pay full salary for up to 13 weeks of absence in any period of 12 months, after which the Executive shall be entitled to statutory sick pay only.</w:t>
      </w:r>
    </w:p>
    <w:p>
      <w:pPr>
        <w:pStyle w:val="Heading1"/>
      </w:pPr>
      <w:r>
        <w:t xml:space="preserve">7. Confidential information and intellectual property</w:t>
      </w:r>
    </w:p>
    <w:p>
      <w:pPr>
        <w:pStyle w:val="ListParagraph"/>
        <w:numPr>
          <w:ilvl w:val="0"/>
          <w:numId w:val="2"/>
        </w:numPr>
        <w:spacing w:after="100"/>
      </w:pPr>
      <w:r>
        <w:rPr>
          <w:b/>
          <w:bCs/>
        </w:rPr>
        <w:t xml:space="preserve">7.1  </w:t>
      </w:r>
      <w:r>
        <w:t xml:space="preserve">The Executive shall not, except in the proper performance of her duties or as required by law, use or disclose to any person any Confidential Information. This clause does not prevent the Executive from making a protected disclosure within the meaning of section 43A of the Employment Rights Act 1996, or from reporting a matter to a regulator including the Care Quality Commission.</w:t>
      </w:r>
    </w:p>
    <w:p>
      <w:pPr>
        <w:pStyle w:val="ListParagraph"/>
        <w:numPr>
          <w:ilvl w:val="0"/>
          <w:numId w:val="2"/>
        </w:numPr>
        <w:spacing w:after="100"/>
      </w:pPr>
      <w:r>
        <w:rPr>
          <w:b/>
          <w:bCs/>
        </w:rPr>
        <w:t xml:space="preserve">7.2  </w:t>
      </w:r>
      <w:r>
        <w:t xml:space="preserve">All intellectual property created by the Executive in the course of her employment shall belong to the Company.</w:t>
      </w:r>
    </w:p>
    <w:p>
      <w:pPr>
        <w:pStyle w:val="Heading1"/>
      </w:pPr>
      <w:r>
        <w:t xml:space="preserve">8. Termination</w:t>
      </w:r>
    </w:p>
    <w:p>
      <w:pPr>
        <w:pStyle w:val="ListParagraph"/>
        <w:numPr>
          <w:ilvl w:val="0"/>
          <w:numId w:val="2"/>
        </w:numPr>
        <w:spacing w:after="100"/>
      </w:pPr>
      <w:r>
        <w:rPr>
          <w:b/>
          <w:bCs/>
        </w:rPr>
        <w:t xml:space="preserve">8.1  </w:t>
      </w:r>
      <w:r>
        <w:t xml:space="preserve">The employment may be terminated by either party giving to the other not less than six months’ written notice.</w:t>
      </w:r>
    </w:p>
    <w:p>
      <w:pPr>
        <w:pStyle w:val="ListParagraph"/>
        <w:numPr>
          <w:ilvl w:val="0"/>
          <w:numId w:val="2"/>
        </w:numPr>
        <w:spacing w:after="100"/>
      </w:pPr>
      <w:r>
        <w:rPr>
          <w:b/>
          <w:bCs/>
        </w:rPr>
        <w:t xml:space="preserve">8.2  </w:t>
      </w:r>
      <w:r>
        <w:t xml:space="preserve">The Company may at its discretion terminate the employment immediately by paying in lieu of notice a sum equal to the Salary (but no benefits or bonus) which the Executive would have received during the notice period or any unexpired part of it.</w:t>
      </w:r>
    </w:p>
    <w:p>
      <w:pPr>
        <w:pStyle w:val="ListParagraph"/>
        <w:numPr>
          <w:ilvl w:val="0"/>
          <w:numId w:val="2"/>
        </w:numPr>
        <w:spacing w:after="100"/>
      </w:pPr>
      <w:r>
        <w:rPr>
          <w:b/>
          <w:bCs/>
        </w:rPr>
        <w:t xml:space="preserve">8.3  </w:t>
      </w:r>
      <w:r>
        <w:t xml:space="preserve">The Company may terminate the employment immediately without notice or payment in lieu if the Executive is guilty of gross misconduct or commits a serious or repeated breach of this Agreement.</w:t>
      </w:r>
    </w:p>
    <w:p>
      <w:pPr>
        <w:pStyle w:val="Heading1"/>
      </w:pPr>
      <w:r>
        <w:t xml:space="preserve">9. Post-termination restrictions</w:t>
      </w:r>
    </w:p>
    <w:p>
      <w:pPr>
        <w:pStyle w:val="ListParagraph"/>
        <w:numPr>
          <w:ilvl w:val="0"/>
          <w:numId w:val="2"/>
        </w:numPr>
        <w:spacing w:after="100"/>
      </w:pPr>
      <w:r>
        <w:rPr>
          <w:b/>
          <w:bCs/>
        </w:rPr>
        <w:t xml:space="preserve">9.1  </w:t>
      </w:r>
      <w:r>
        <w:t xml:space="preserve">The Executive shall not, for a period of six months after the termination of her employment, solicit or entice away any senior employee, or solicit the custom of any client of the Company with whom she dealt in the 12 months before termination, in each case in the field of regulated care services.</w:t>
      </w:r>
    </w:p>
    <w:p>
      <w:pPr>
        <w:pStyle w:val="Heading1"/>
      </w:pPr>
      <w:r>
        <w:t xml:space="preserve">10. Disciplinary and grievance</w:t>
      </w:r>
    </w:p>
    <w:p>
      <w:pPr>
        <w:pStyle w:val="ListParagraph"/>
        <w:numPr>
          <w:ilvl w:val="0"/>
          <w:numId w:val="2"/>
        </w:numPr>
        <w:spacing w:after="100"/>
      </w:pPr>
      <w:r>
        <w:rPr>
          <w:b/>
          <w:bCs/>
        </w:rPr>
        <w:t xml:space="preserve">10.1  </w:t>
      </w:r>
      <w:r>
        <w:t xml:space="preserve">The Company’s disciplinary and grievance procedures, which are non-contractual, are set out in the Company handbook and available from the HR department.</w:t>
      </w:r>
    </w:p>
    <w:p>
      <w:pPr>
        <w:pStyle w:val="Heading1"/>
      </w:pPr>
      <w:r>
        <w:t xml:space="preserve">11. General</w:t>
      </w:r>
    </w:p>
    <w:p>
      <w:pPr>
        <w:pStyle w:val="ListParagraph"/>
        <w:numPr>
          <w:ilvl w:val="0"/>
          <w:numId w:val="2"/>
        </w:numPr>
        <w:spacing w:after="100"/>
      </w:pPr>
      <w:r>
        <w:rPr>
          <w:b/>
          <w:bCs/>
        </w:rPr>
        <w:t xml:space="preserve">11.1  </w:t>
      </w:r>
      <w:r>
        <w:t xml:space="preserve">This Agreement, together with the documents referred to in it, constitutes the entire agreement between the parties and supersedes any previous arrangement. This Agreement is governed by the law of England and Wales and the parties submit to the exclusive jurisdiction of the courts of England and Wales.</w:t>
      </w:r>
    </w:p>
    <w:p>
      <w:pPr>
        <w:spacing w:after="80"/>
      </w:pPr>
    </w:p>
    <w:p>
      <w:pPr>
        <w:spacing w:before="200"/>
      </w:pPr>
      <w:r>
        <w:t xml:space="preserve">Signed by the parties on the date first written above.</w:t>
      </w:r>
    </w:p>
    <w:p>
      <w:pPr>
        <w:spacing w:after="80" w:before="240"/>
      </w:pPr>
      <w:r>
        <w:t xml:space="preserve">Signed: </w:t>
      </w:r>
      <w:r>
        <w:t xml:space="preserve">______________________________     </w:t>
      </w:r>
      <w:r>
        <w:rPr>
          <w:b/>
          <w:bCs/>
        </w:rPr>
        <w:t xml:space="preserve">for and on behalf of Ashbourne Healthcare Group Limited</w:t>
      </w:r>
    </w:p>
    <w:p>
      <w:pPr>
        <w:spacing w:after="80" w:before="240"/>
      </w:pPr>
      <w:r>
        <w:t xml:space="preserve">Signed: </w:t>
      </w:r>
      <w:r>
        <w:t xml:space="preserve">______________________________     </w:t>
      </w:r>
      <w:r>
        <w:rPr>
          <w:b/>
          <w:bCs/>
        </w:rPr>
        <w:t xml:space="preserve">Priya Okafor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2026-06-27T16:42:35.928Z</dcterms:created>
  <dcterms:modified xsi:type="dcterms:W3CDTF">2026-06-27T16:42:35.928Z</dcterms:modified>
</cp:coreProperties>
</file>

<file path=docProps/custom.xml><?xml version="1.0" encoding="utf-8"?>
<Properties xmlns="http://schemas.openxmlformats.org/officeDocument/2006/custom-properties" xmlns:vt="http://schemas.openxmlformats.org/officeDocument/2006/docPropsVTypes"/>
</file>