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rPr>
          <w:b/>
          <w:bCs/>
        </w:rPr>
      </w:pPr>
      <w:r>
        <w:rPr>
          <w:b/>
          <w:bCs/>
        </w:rPr>
        <w:t xml:space="preserve">WITHOUT PREJUDICE</w:t>
      </w:r>
    </w:p>
    <w:p>
      <w:pPr>
        <w:spacing w:after="160"/>
      </w:pPr>
      <w:r>
        <w:t xml:space="preserve">Our ref: SW/AHG/2204417   Your ref: BSL/PO/4471</w:t>
      </w:r>
    </w:p>
    <w:p>
      <w:pPr>
        <w:spacing w:after="120"/>
      </w:pPr>
      <w:r>
        <w:t xml:space="preserve">Ms Rachel Hartley</w:t>
      </w:r>
    </w:p>
    <w:p>
      <w:pPr>
        <w:spacing w:after="120"/>
      </w:pPr>
      <w:r>
        <w:t xml:space="preserve">Birchall Stone LLP</w:t>
      </w:r>
    </w:p>
    <w:p>
      <w:pPr>
        <w:spacing w:after="160"/>
      </w:pPr>
      <w:r>
        <w:t xml:space="preserve">18 Cornhill, London EC3V 3ND</w:t>
      </w:r>
    </w:p>
    <w:p>
      <w:pPr>
        <w:spacing w:after="200"/>
      </w:pPr>
      <w:r>
        <w:t xml:space="preserve">28 April 2025</w:t>
      </w:r>
    </w:p>
    <w:p>
      <w:pPr>
        <w:spacing w:after="120"/>
      </w:pPr>
      <w:r>
        <w:rPr>
          <w:b/>
          <w:bCs/>
        </w:rPr>
        <w:t xml:space="preserve">Dear Ms Hartley</w:t>
      </w:r>
    </w:p>
    <w:p>
      <w:pPr>
        <w:spacing w:after="120"/>
      </w:pPr>
      <w:r>
        <w:rPr>
          <w:b/>
          <w:bCs/>
        </w:rPr>
        <w:t xml:space="preserve">WITHOUT PREJUDICE</w:t>
      </w:r>
    </w:p>
    <w:p>
      <w:pPr>
        <w:spacing w:after="120"/>
      </w:pPr>
      <w:r>
        <w:rPr>
          <w:b/>
          <w:bCs/>
        </w:rPr>
        <w:t xml:space="preserve">Priya Okafor v Ashbourne Healthcare Group Limited — Case No. 2204417/2025</w:t>
      </w:r>
    </w:p>
    <w:p>
      <w:pPr>
        <w:spacing w:after="120"/>
      </w:pPr>
      <w:r>
        <w:t xml:space="preserve">We write on a without prejudice basis, and entirely without admission of liability, in an attempt to resolve this matter commercially and to avoid the cost and management distraction of a contested seven-day hearing.</w:t>
      </w:r>
    </w:p>
    <w:p>
      <w:pPr>
        <w:spacing w:after="120"/>
      </w:pPr>
      <w:r>
        <w:t xml:space="preserve">Our client maintains that your client was dismissed by reason of a genuine redundancy following the consolidation of the East and Central regional structures, that she was fairly selected against objective criteria, and that her dismissal had nothing whatever to do with the matters she raised in 2024, each of which was investigated and addressed at the time. Our client is confident of defending the claim in full. Nothing in this letter should be taken as any concession on liability.</w:t>
      </w:r>
    </w:p>
    <w:p>
      <w:pPr>
        <w:spacing w:after="120"/>
      </w:pPr>
      <w:r>
        <w:t xml:space="preserve">Nevertheless, our client recognises that litigation of this kind is expensive and unpredictable, that the Tribunal cannot generally award costs to the successful party, and that a clean break has value to both sides. On that strictly commercial footing, and on the express basis that the offer is made to compromise the entirety of your client’s claims, our client is willing to pay your client the sum of £95,000, made up as to £30,000 in respect of the statutory and contractual notice and accrued entitlements (subject to deductions for tax and national insurance) and as to £65,000 as a compensatory and ex gratia termination payment, the first £30,000 of which the parties would treat as falling within section 403 of ITEPA 2003 and paid free of tax.</w:t>
      </w:r>
    </w:p>
    <w:p>
      <w:pPr>
        <w:spacing w:after="120"/>
      </w:pPr>
      <w:r>
        <w:t xml:space="preserve">This offer is conditional on: (a) the claim being withdrawn and dismissed on withdrawal; (b) a settlement agreement complying with section 203 of the Employment Rights Act 1996, alternatively a COT3 through Acas; (c) mutual confidentiality and non-derogatory terms; (d) an agreed reference in the form attached to any agreement; and (e) your client’s solicitors’ reasonable costs of advising on the agreement, which our client will contribute towards up to £750 plus VAT.</w:t>
      </w:r>
    </w:p>
    <w:p>
      <w:pPr>
        <w:spacing w:after="120"/>
      </w:pPr>
      <w:r>
        <w:t xml:space="preserve">This offer is open for acceptance for 21 days from the date of this letter, after which it is automatically withdrawn. We reserve the right to refer this letter to the Tribunal on the question of costs in the event that your client continues the proceedings and fails to obtain a more advantageous outcome (a so-called “costs warning”). We look forward to hearing from you.</w:t>
      </w:r>
    </w:p>
    <w:p>
      <w:pPr>
        <w:spacing w:after="240" w:before="160"/>
      </w:pPr>
      <w:r>
        <w:t xml:space="preserve">Yours sincerely</w:t>
      </w:r>
    </w:p>
    <w:p>
      <w:pPr>
        <w:spacing w:after="120"/>
      </w:pPr>
      <w:r>
        <w:rPr>
          <w:b/>
          <w:bCs/>
        </w:rPr>
        <w:t xml:space="preserve">Sarah Whitfield</w:t>
      </w:r>
    </w:p>
    <w:p>
      <w:pPr>
        <w:spacing w:after="120"/>
      </w:pPr>
      <w:r>
        <w:t xml:space="preserve">Partner,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WITHOUT PREJUDICE —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2026-06-27T16:42:35.942Z</dcterms:created>
  <dcterms:modified xsi:type="dcterms:W3CDTF">2026-06-27T16:42:35.942Z</dcterms:modified>
</cp:coreProperties>
</file>

<file path=docProps/custom.xml><?xml version="1.0" encoding="utf-8"?>
<Properties xmlns="http://schemas.openxmlformats.org/officeDocument/2006/custom-properties" xmlns:vt="http://schemas.openxmlformats.org/officeDocument/2006/docPropsVTypes"/>
</file>