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18"/>
          <w:szCs w:val="18"/>
        </w:rPr>
        <w:t xml:space="preserve">PRIVILEGED &amp; CONFIDENTIAL — PREPARED FOR THE BOARD OF ASHBOURNE HEALTHCARE GROUP LIMITED</w:t>
      </w:r>
    </w:p>
    <w:p>
      <w:pPr>
        <w:pStyle w:val="Heading1"/>
      </w:pPr>
      <w:r>
        <w:t xml:space="preserve">Advice Note: Agreed exit of Mr Adrian Vholes — settlement terms and enforceability of restrictive covenants</w:t>
      </w:r>
    </w:p>
    <w:p>
      <w:pPr>
        <w:spacing w:after="120"/>
      </w:pPr>
      <w:r>
        <w:rPr>
          <w:b/>
          <w:bCs/>
        </w:rPr>
        <w:t xml:space="preserve">To: </w:t>
      </w:r>
      <w:r>
        <w:t xml:space="preserve">Lorna Keane (COO); Iqbal Rahman (CEO); Daniel Pryce (General Counsel)</w:t>
      </w:r>
    </w:p>
    <w:p>
      <w:pPr>
        <w:spacing w:after="120"/>
      </w:pPr>
      <w:r>
        <w:rPr>
          <w:b/>
          <w:bCs/>
        </w:rPr>
        <w:t xml:space="preserve">From: </w:t>
      </w:r>
      <w:r>
        <w:t xml:space="preserve">Sarah Whitfield / Tom Gallagher, Whitfield Carter LLP</w:t>
      </w:r>
    </w:p>
    <w:p>
      <w:pPr>
        <w:spacing w:after="120"/>
      </w:pPr>
      <w:r>
        <w:rPr>
          <w:b/>
          <w:bCs/>
        </w:rPr>
        <w:t xml:space="preserve">Date: </w:t>
      </w:r>
      <w:r>
        <w:t xml:space="preserve">9 February 2026</w:t>
      </w:r>
    </w:p>
    <w:p>
      <w:pPr>
        <w:pStyle w:val="Heading2"/>
      </w:pPr>
      <w:r>
        <w:t xml:space="preserve">1. Executive summary</w:t>
      </w:r>
    </w:p>
    <w:p>
      <w:r>
        <w:t xml:space="preserve">We are instructed on the negotiated termination of Mr Vholes' employment as Group Finance Director. Mr Vholes has indicated that he intends to take up a senior finance role at Cedarwell Care Group Limited, a competing residential and domiciliary care operator. This raises two connected questions: (i) the commercial and tax-efficient structuring of his exit package, and (ii) the protection of the Group's confidential information and client and staff relationships through his post-termination restrictive covenants.</w:t>
      </w:r>
    </w:p>
    <w:p>
      <w:r>
        <w:t xml:space="preserve">In summary, we consider that the Group is in a strong position. The 12-month notice entitlement is the principal cost driver. Of the restrictive covenants, the non-solicitation and non-dealing covenants are likely to be enforceable as drafted; the 12-month non-compete is, in our view, longer than necessary to protect the Group's legitimate interests and carries a meaningful risk of being held unreasonable. We recommend agreeing a reduced non-compete of 9 months in exchange for Mr Vholes' acceptance of the wider settlement, which gives the Group a covenant it can realistically enforce.</w:t>
      </w:r>
    </w:p>
    <w:p>
      <w:pPr>
        <w:pStyle w:val="Heading2"/>
      </w:pPr>
      <w:r>
        <w:t xml:space="preserve">2. Contractual position</w:t>
      </w:r>
    </w:p>
    <w:p>
      <w:r>
        <w:t xml:space="preserve">Mr Vholes' service agreement dated 1 April 2019 provides for: (a) a notice period of 12 months on either side; (b) a basic salary of £215,000 per annum; (c) a discretionary annual bonus of up to 50% of salary, with the FY2025 bonus of £43,000 already determined by the Remuneration Committee but unpaid; and (d) a contractual right for the Group to make a payment in lieu of notice (PILON). The agreement contains post-termination restrictions of 12 months for non-competition, non-solicitation of clients, non-dealing, and non-solicitation of senior employees.</w:t>
      </w:r>
    </w:p>
    <w:p>
      <w:pPr>
        <w:pStyle w:val="Heading2"/>
      </w:pPr>
      <w:r>
        <w:t xml:space="preserve">3. Structuring the termination payments</w:t>
      </w:r>
    </w:p>
    <w:p>
      <w:r>
        <w:t xml:space="preserve">We propose the following structure, which balances cost, tax efficiency and the certainty of a clean break:</w:t>
      </w:r>
    </w:p>
    <w:p>
      <w:pPr>
        <w:pStyle w:val="ListParagraph"/>
        <w:numPr>
          <w:ilvl w:val="0"/>
          <w:numId w:val="2"/>
        </w:numPr>
        <w:spacing w:after="80"/>
      </w:pPr>
      <w:r>
        <w:t xml:space="preserve">Payment in lieu of notice: as the contract contains a PILON clause, the Group should exercise it. Post-2018, all PILON is treated as post-employment notice pay (PENP) and is fully taxable. We recommend a 6-month PILON of £107,500 (gross), reflecting a negotiated reduction from the full 12 months in consideration of Mr Vholes commencing garden leave and the covenant concessions.</w:t>
      </w:r>
    </w:p>
    <w:p>
      <w:pPr>
        <w:pStyle w:val="ListParagraph"/>
        <w:numPr>
          <w:ilvl w:val="0"/>
          <w:numId w:val="2"/>
        </w:numPr>
        <w:spacing w:after="80"/>
      </w:pPr>
      <w:r>
        <w:t xml:space="preserve">Ex gratia termination payment: an additional £95,000, of which the first £30,000 may be paid free of tax and NICs under section 401 ITEPA 2003, with the balance subject to tax (but not employee NICs).</w:t>
      </w:r>
    </w:p>
    <w:p>
      <w:pPr>
        <w:pStyle w:val="ListParagraph"/>
        <w:numPr>
          <w:ilvl w:val="0"/>
          <w:numId w:val="2"/>
        </w:numPr>
        <w:spacing w:after="80"/>
      </w:pPr>
      <w:r>
        <w:t xml:space="preserve">Outstanding FY2025 bonus: £43,000 gross, taxable as earnings.</w:t>
      </w:r>
    </w:p>
    <w:p>
      <w:pPr>
        <w:pStyle w:val="ListParagraph"/>
        <w:numPr>
          <w:ilvl w:val="0"/>
          <w:numId w:val="2"/>
        </w:numPr>
        <w:spacing w:after="80"/>
      </w:pPr>
      <w:r>
        <w:t xml:space="preserve">Legal fees contribution: £1,500 plus VAT paid directly to Mr Vholes' solicitors for advice on the settlement agreement.</w:t>
      </w:r>
    </w:p>
    <w:p>
      <w:pPr>
        <w:pStyle w:val="ListParagraph"/>
        <w:numPr>
          <w:ilvl w:val="0"/>
          <w:numId w:val="2"/>
        </w:numPr>
        <w:spacing w:after="80"/>
      </w:pPr>
      <w:r>
        <w:t xml:space="preserve">Outplacement support: £7,500 (exempt under section 310 ITEPA where qualifying conditions are met).</w:t>
      </w:r>
    </w:p>
    <w:p>
      <w:r>
        <w:t xml:space="preserve">On this basis the headline cost to the Group is approximately £254,000 (excluding employer NICs and the legal fees contribution). A detailed breakdown is set out in the accompanying Settlement Breakdown spreadsheet, which should be read with this note.</w:t>
      </w:r>
    </w:p>
    <w:p>
      <w:pPr>
        <w:pStyle w:val="Heading2"/>
      </w:pPr>
      <w:r>
        <w:t xml:space="preserve">4. Enforceability of the restrictive covenants</w:t>
      </w:r>
    </w:p>
    <w:p>
      <w:r>
        <w:t xml:space="preserve">The court will enforce a post-termination restriction only so far as it goes no further than reasonably necessary to protect a legitimate business interest (Tillman v Egon Zehnder [2019] UKSC 32). Our assessment is as follows:</w:t>
      </w:r>
    </w:p>
    <w:p>
      <w:pPr>
        <w:pStyle w:val="ListParagraph"/>
        <w:numPr>
          <w:ilvl w:val="0"/>
          <w:numId w:val="2"/>
        </w:numPr>
        <w:spacing w:after="80"/>
      </w:pPr>
      <w:r>
        <w:t xml:space="preserve">Non-solicitation / non-dealing with clients (12 months): the Group's commissioning relationships with local authorities and integrated care boards are long-standing and were within Mr Vholes' knowledge. A 12-month restriction is, in our view, reasonable and enforceable.</w:t>
      </w:r>
    </w:p>
    <w:p>
      <w:pPr>
        <w:pStyle w:val="ListParagraph"/>
        <w:numPr>
          <w:ilvl w:val="0"/>
          <w:numId w:val="2"/>
        </w:numPr>
        <w:spacing w:after="80"/>
      </w:pPr>
      <w:r>
        <w:t xml:space="preserve">Non-solicitation of senior employees (12 months): enforceable; the restriction is properly limited to those with whom he had material dealings in the 12 months before termination.</w:t>
      </w:r>
    </w:p>
    <w:p>
      <w:pPr>
        <w:pStyle w:val="ListParagraph"/>
        <w:numPr>
          <w:ilvl w:val="0"/>
          <w:numId w:val="2"/>
        </w:numPr>
        <w:spacing w:after="80"/>
      </w:pPr>
      <w:r>
        <w:t xml:space="preserve">Non-competition (12 months): this is the weakest covenant. A blanket 12-month bar on working for any competitor across the Group's geographic footprint is, in our view, wider than necessary given that the client and confidentiality covenants already protect the core interests. We assess the risk of unenforceability at a full 12 months as material.</w:t>
      </w:r>
    </w:p>
    <w:p>
      <w:r>
        <w:t xml:space="preserve">Recommendation: agree a reduced non-compete of 9 months as part of the settlement. A covenant the Group can confidently enforce is worth more than a longer one that a court may strike down in its entirety. We would resist any reduction below 9 months and would not concede the client or employee non-solicitation periods.</w:t>
      </w:r>
    </w:p>
    <w:p>
      <w:pPr>
        <w:pStyle w:val="Heading2"/>
      </w:pPr>
      <w:r>
        <w:t xml:space="preserve">5. Process and next steps</w:t>
      </w:r>
    </w:p>
    <w:p>
      <w:r>
        <w:t xml:space="preserve">We recommend the Board authorise the settlement on the terms above, place Mr Vholes on garden leave with immediate effect, and instruct us to open without-prejudice discussions with his adviser. A settlement agreement under section 203 ERA 1996 will be required, with Mr Vholes taking independent legal advice. We will circulate a first draft once the Board has approved the commercial terms.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color w:val="777777"/>
        <w:sz w:val="14"/>
        <w:szCs w:val="14"/>
      </w:rPr>
      <w:t xml:space="preserve">Whitfield Carter LLP is a limited liability partnership registered in England and Wales.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2026-06-29T17:02:45.468Z</dcterms:created>
  <dcterms:modified xsi:type="dcterms:W3CDTF">2026-06-29T17:02:45.468Z</dcterms:modified>
</cp:coreProperties>
</file>

<file path=docProps/custom.xml><?xml version="1.0" encoding="utf-8"?>
<Properties xmlns="http://schemas.openxmlformats.org/officeDocument/2006/custom-properties" xmlns:vt="http://schemas.openxmlformats.org/officeDocument/2006/docPropsVTypes"/>
</file>