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3 February 2026</w:t>
      </w:r>
    </w:p>
    <w:p>
      <w:pPr>
        <w:spacing w:after="0"/>
      </w:pPr>
      <w:r>
        <w:t xml:space="preserve">STRICTLY PRIVATE &amp; CONFIDENTIAL</w:t>
      </w:r>
    </w:p>
    <w:p>
      <w:pPr>
        <w:spacing w:after="0"/>
      </w:pPr>
      <w:r>
        <w:t xml:space="preserve">Ms Lorna Keane</w:t>
      </w:r>
    </w:p>
    <w:p>
      <w:pPr>
        <w:spacing w:after="0"/>
      </w:pPr>
      <w:r>
        <w:t xml:space="preserve">Chief Operating Officer</w:t>
      </w:r>
    </w:p>
    <w:p>
      <w:pPr>
        <w:spacing w:after="0"/>
      </w:pPr>
      <w:r>
        <w:t xml:space="preserve">Ashbourne Healthcare Group Limited</w:t>
      </w:r>
    </w:p>
    <w:p>
      <w:pPr>
        <w:spacing w:after="0"/>
      </w:pPr>
      <w:r>
        <w:t xml:space="preserve">Ashbourne House, 14 Wellingborough Road</w:t>
      </w:r>
    </w:p>
    <w:p>
      <w:pPr>
        <w:spacing w:after="0"/>
      </w:pPr>
      <w:r>
        <w:t xml:space="preserve">Northampton NN1 4DJ</w:t>
      </w:r>
    </w:p>
    <w:p>
      <w:r>
        <w:t xml:space="preserve"/>
      </w:r>
    </w:p>
    <w:p>
      <w:r>
        <w:t xml:space="preserve">Dear Lorna</w:t>
      </w:r>
    </w:p>
    <w:p>
      <w:pPr>
        <w:spacing w:after="120"/>
      </w:pPr>
      <w:r>
        <w:rPr>
          <w:b/>
          <w:bCs/>
        </w:rPr>
        <w:t xml:space="preserve">Proposed termination of employment of Mr Adrian Vholes (Group Finance Director) — terms of engagement</w:t>
      </w:r>
    </w:p>
    <w:p>
      <w:r>
        <w:t xml:space="preserve">Thank you for instructing Whitfield Carter LLP in connection with the proposed agreed termination of the employment of Mr Adrian Vholes, the Group's Finance Director. This letter sets out the basis on which we will act, the scope of our work and our fee arrangements, and should be read together with our standard Terms of Business enclosed.</w:t>
      </w:r>
    </w:p>
    <w:p>
      <w:pPr>
        <w:pStyle w:val="Heading2"/>
      </w:pPr>
      <w:r>
        <w:t xml:space="preserve">1. Scope of work</w:t>
      </w:r>
    </w:p>
    <w:p>
      <w:r>
        <w:t xml:space="preserve">Our instructions, as discussed at our meeting on 30 January 2026, are to advise the Group on the negotiated exit of Mr Vholes on a without-admissions basis, and in particular to:</w:t>
      </w:r>
    </w:p>
    <w:p>
      <w:pPr>
        <w:pStyle w:val="ListParagraph"/>
        <w:numPr>
          <w:ilvl w:val="0"/>
          <w:numId w:val="2"/>
        </w:numPr>
        <w:spacing w:after="80"/>
      </w:pPr>
      <w:r>
        <w:t xml:space="preserve">review Mr Vholes' service agreement dated 1 April 2019, including his notice entitlement, contractual bonus, and post-termination restrictive covenants;</w:t>
      </w:r>
    </w:p>
    <w:p>
      <w:pPr>
        <w:pStyle w:val="ListParagraph"/>
        <w:numPr>
          <w:ilvl w:val="0"/>
          <w:numId w:val="2"/>
        </w:numPr>
        <w:spacing w:after="80"/>
      </w:pPr>
      <w:r>
        <w:t xml:space="preserve">advise on the enforceability of the restrictive covenants in light of Mr Vholes' anticipated move to a competitor;</w:t>
      </w:r>
    </w:p>
    <w:p>
      <w:pPr>
        <w:pStyle w:val="ListParagraph"/>
        <w:numPr>
          <w:ilvl w:val="0"/>
          <w:numId w:val="2"/>
        </w:numPr>
        <w:spacing w:after="80"/>
      </w:pPr>
      <w:r>
        <w:t xml:space="preserve">structure and document a settlement agreement under section 203 of the Employment Rights Act 1996 providing the Group with a full and final settlement and waiver of claims;</w:t>
      </w:r>
    </w:p>
    <w:p>
      <w:pPr>
        <w:pStyle w:val="ListParagraph"/>
        <w:numPr>
          <w:ilvl w:val="0"/>
          <w:numId w:val="2"/>
        </w:numPr>
        <w:spacing w:after="80"/>
      </w:pPr>
      <w:r>
        <w:t xml:space="preserve">conduct without-prejudice negotiations with Mr Vholes' adviser; and</w:t>
      </w:r>
    </w:p>
    <w:p>
      <w:pPr>
        <w:pStyle w:val="ListParagraph"/>
        <w:numPr>
          <w:ilvl w:val="0"/>
          <w:numId w:val="2"/>
        </w:numPr>
        <w:spacing w:after="80"/>
      </w:pPr>
      <w:r>
        <w:t xml:space="preserve">advise on the tax treatment of the proposed termination payments.</w:t>
      </w:r>
    </w:p>
    <w:p>
      <w:pPr>
        <w:pStyle w:val="Heading2"/>
      </w:pPr>
      <w:r>
        <w:t xml:space="preserve">2. Team and supervision</w:t>
      </w:r>
    </w:p>
    <w:p>
      <w:r>
        <w:t xml:space="preserve">The matter will be led by Sarah Whitfield (Partner), who will be your principal point of contact. Day-to-day conduct will be handled by Tom Gallagher (Associate). Sarah holds overall responsibility for the matter and the standard of our work.</w:t>
      </w:r>
    </w:p>
    <w:p>
      <w:pPr>
        <w:pStyle w:val="Heading2"/>
      </w:pPr>
      <w:r>
        <w:t xml:space="preserve">3. Fees and disbursements</w:t>
      </w:r>
    </w:p>
    <w:p>
      <w:r>
        <w:t xml:space="preserve">Our fees are charged by reference to time spent at the following hourly rates (exclusive of VAT): Sarah Whitfield £595; Tom Gallagher £330. We estimate our fees for this matter, assuming a negotiated settlement is reached without litigation, in the range of £14,000 to £19,000 plus VAT and disbursements. We will notify you promptly if it appears the estimate will be exceeded.</w:t>
      </w:r>
    </w:p>
    <w:p>
      <w:r>
        <w:t xml:space="preserve">As is usual, the Group may agree to make a contribution towards Mr Vholes' own legal costs of receiving advice on the settlement agreement; any such contribution is dealt with separately in the settlement documentation and is in addition to our own fees.</w:t>
      </w:r>
    </w:p>
    <w:p>
      <w:pPr>
        <w:pStyle w:val="Heading2"/>
      </w:pPr>
      <w:r>
        <w:t xml:space="preserve">4. Confidentiality and privilege</w:t>
      </w:r>
    </w:p>
    <w:p>
      <w:r>
        <w:t xml:space="preserve">Our advice is provided to the Group alone and is confidential and subject to legal professional privilege. It should not be disclosed to Mr Vholes or any third party without our prior agreement, as to do so may waive privilege.</w:t>
      </w:r>
    </w:p>
    <w:p>
      <w:r>
        <w:t xml:space="preserve">We are grateful for these instructions. Please countersign and return the enclosed copy of this letter to confirm your agreement to its terms.</w:t>
      </w:r>
    </w:p>
    <w:p>
      <w:r>
        <w:t xml:space="preserve">Yours sincerely</w:t>
      </w:r>
    </w:p>
    <w:p>
      <w:r>
        <w:t xml:space="preserve"/>
      </w:r>
    </w:p>
    <w:p>
      <w:pPr>
        <w:spacing w:after="120"/>
      </w:pPr>
      <w:r>
        <w:rPr>
          <w:b/>
          <w:bCs/>
        </w:rPr>
        <w:t xml:space="preserve">Sarah Whitfield</w:t>
      </w:r>
    </w:p>
    <w:p>
      <w:r>
        <w:t xml:space="preserve">Partner — Employment</w:t>
      </w:r>
    </w:p>
    <w:p>
      <w: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2"/>
      </w:pBdr>
    </w:pPr>
    <w:r>
      <w:rPr>
        <w:color w:val="555555"/>
        <w:sz w:val="15"/>
        <w:szCs w:val="15"/>
      </w:rPr>
      <w:t xml:space="preserve">22 Bishopsgate, London EC2N 4BQ  •  T +44 (0)20 7946 0100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2026-06-29T17:02:45.418Z</dcterms:created>
  <dcterms:modified xsi:type="dcterms:W3CDTF">2026-06-29T17:02:45.419Z</dcterms:modified>
</cp:coreProperties>
</file>

<file path=docProps/custom.xml><?xml version="1.0" encoding="utf-8"?>
<Properties xmlns="http://schemas.openxmlformats.org/officeDocument/2006/custom-properties" xmlns:vt="http://schemas.openxmlformats.org/officeDocument/2006/docPropsVTypes"/>
</file>