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PRIVILEGED &amp; CONFIDENTIAL — SUBJECT TO LEGAL ADVICE PRIVILEGE</w:t>
      </w:r>
    </w:p>
    <w:p>
      <w:pPr>
        <w:spacing w:after="60"/>
        <w:jc w:val="center"/>
      </w:pPr>
      <w:r>
        <w:rPr>
          <w:b/>
          <w:bCs/>
          <w:sz w:val="28"/>
          <w:szCs w:val="28"/>
        </w:rPr>
        <w:t xml:space="preserve">ADVICE ON MERITS AND SETTLEMENT STRATEGY</w:t>
      </w:r>
    </w:p>
    <w:p>
      <w:pPr>
        <w:spacing w:after="200"/>
        <w:jc w:val="center"/>
      </w:pPr>
      <w:r>
        <w:rPr>
          <w:i/>
          <w:iCs/>
        </w:rPr>
        <w:t xml:space="preserve">Dr Rebecca Whitmore v Ashbourne Healthcare Group Limited (intimated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To</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Daniel Pryce, General Counsel; Lorna Keane, COO</w:t>
            </w:r>
          </w:p>
        </w:tc>
      </w:tr>
      <w:tr>
        <w:tc>
          <w:tcPr>
            <w:tcW w:type="dxa" w:w="30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From</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Elena Marchetti (Associate); Sarah Whitfield (Partner)</w:t>
            </w:r>
          </w:p>
        </w:tc>
      </w:tr>
      <w:tr>
        <w:tc>
          <w:tcPr>
            <w:tcW w:type="dxa" w:w="30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28 January 2025</w:t>
            </w:r>
          </w:p>
        </w:tc>
      </w:tr>
      <w:tr>
        <w:tc>
          <w:tcPr>
            <w:tcW w:type="dxa" w:w="30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Matter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WC-00202 — Whitmore Settlement</w:t>
            </w:r>
          </w:p>
        </w:tc>
      </w:tr>
      <w:tr>
        <w:tc>
          <w:tcPr>
            <w:tcW w:type="dxa" w:w="30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Status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Legally privileged — not to be circulated externally</w:t>
            </w:r>
          </w:p>
        </w:tc>
      </w:tr>
    </w:tbl>
    <w:p>
      <w:pPr>
        <w:pStyle w:val="Heading1"/>
      </w:pPr>
      <w:r>
        <w:t xml:space="preserve">1. Executive summary</w:t>
      </w:r>
    </w:p>
    <w:p>
      <w:pPr>
        <w:spacing w:after="120"/>
      </w:pPr>
      <w:r>
        <w:t xml:space="preserve">Dr Whitmore has intimated claims of automatic unfair dismissal and detriment for making protected disclosures under the Employment Rights Act 1996 (“ERA”), as well as ordinary unfair dismissal. In our view the whistleblowing claim carries real litigation risk: there is a credible evidential thread linking Dr Whitmore’s disclosures about staffing ratios and medication-error reporting at Ferndene Court to the decision to select her for redundancy, and the contemporaneous documents are not uniformly helpful to the Company. We assess the Company’s prospects of successfully defending the automatic unfair dismissal claim at no better than 40–45%. Because compensation for automatic unfair dismissal on whistleblowing grounds is uncapped, the exposure is materially higher than an ordinary unfair dismissal claim. We recommend that the Company seek to settle, and we consider a settlement in the range of £150,000 to £200,000 (inclusive) to be commercially sensible.</w:t>
      </w:r>
    </w:p>
    <w:p>
      <w:pPr>
        <w:pStyle w:val="Heading1"/>
      </w:pPr>
      <w:r>
        <w:t xml:space="preserve">2. Factual background</w:t>
      </w:r>
    </w:p>
    <w:p>
      <w:pPr>
        <w:spacing w:after="120"/>
      </w:pPr>
      <w:r>
        <w:t xml:space="preserve">Dr Whitmore was employed from 3 September 2018, latterly as Clinical Governance Lead and Registered Manager of Ferndene Court, on an annual salary of £92,000 plus benefits. Between June and November 2024 she raised a series of concerns, in writing and at governance meetings, regarding night-time staffing ratios, delays in reporting medication errors, and pressure to admit residents beyond the home’s assessed safe occupancy. Several of these concerns were escalated to the Company’s Non-executive Chair, Helena Marsh.</w:t>
      </w:r>
    </w:p>
    <w:p>
      <w:pPr>
        <w:spacing w:after="120"/>
      </w:pPr>
      <w:r>
        <w:t xml:space="preserve">In October 2024 the Company commenced a restructuring of its East Region management, described as removing a layer of regional clinical oversight. Dr Whitmore’s role was placed at risk on 6 November 2024 and, following a consultation process that she contends was a foregone conclusion, her employment was terminated by reason of redundancy with effect from 20 December 2024. She received her contractual notice and a statutory redundancy payment.</w:t>
      </w:r>
    </w:p>
    <w:p>
      <w:pPr>
        <w:pStyle w:val="Heading1"/>
      </w:pPr>
      <w:r>
        <w:t xml:space="preserve">3. The intimated claims</w:t>
      </w:r>
    </w:p>
    <w:p>
      <w:pPr>
        <w:pStyle w:val="Heading2"/>
      </w:pPr>
      <w:r>
        <w:t xml:space="preserve">3.1 Protected disclosures</w:t>
      </w:r>
    </w:p>
    <w:p>
      <w:pPr>
        <w:spacing w:after="120"/>
      </w:pPr>
      <w:r>
        <w:t xml:space="preserve">To succeed under sections 103A / 47B ERA, Dr Whitmore must show she made one or more “qualifying disclosures” (a disclosure of information which, in her reasonable belief, tended to show a breach of a legal obligation and/or a danger to the health and safety of an individual), made in the reasonable belief that it was in the public interest, to her employer. Concerns about safe staffing and medication-error reporting in a regulated care setting are, on their face, capable of being qualifying disclosures. We consider it likely a Tribunal would find at least the November 2024 email to Ms Marsh to be a protected disclosure.</w:t>
      </w:r>
    </w:p>
    <w:p>
      <w:pPr>
        <w:pStyle w:val="Heading2"/>
      </w:pPr>
      <w:r>
        <w:t xml:space="preserve">3.2 Causation</w:t>
      </w:r>
    </w:p>
    <w:p>
      <w:pPr>
        <w:spacing w:after="120"/>
      </w:pPr>
      <w:r>
        <w:t xml:space="preserve">The central battleground is causation: was the making of the protected disclosures the reason (for section 103A) or a material influence (for section 47B) in the decision to dismiss? The redundancy was genuine at a business level, but the selection pool was drawn narrowly around Dr Whitmore’s role, and one internal email (from the East Region Operations Director, since deleted from the live system but recovered on backup) refers to Dr Whitmore as “consistently obstructive on the occupancy targets.” That document is unhelpful and would likely be disclosable.</w:t>
      </w:r>
    </w:p>
    <w:p>
      <w:pPr>
        <w:pStyle w:val="Heading2"/>
      </w:pPr>
      <w:r>
        <w:t xml:space="preserve">3.3 Ordinary unfair dismissal</w:t>
      </w:r>
    </w:p>
    <w:p>
      <w:pPr>
        <w:spacing w:after="120"/>
      </w:pPr>
      <w:r>
        <w:t xml:space="preserve">Even setting the whistleblowing claim aside, the consultation process had defects (short timescales, limited consideration of alternative roles) that give rise to a reasonable prospect of an ordinary unfair dismissal finding. This claim is, however, subject to the statutory cap (the lower of 52 weeks’ gross pay or the prevailing statutory maximum).</w:t>
      </w:r>
    </w:p>
    <w:p>
      <w:pPr>
        <w:pStyle w:val="Heading1"/>
      </w:pPr>
      <w:r>
        <w:t xml:space="preserve">4. Quantum</w:t>
      </w:r>
    </w:p>
    <w:p>
      <w:pPr>
        <w:spacing w:after="120"/>
      </w:pPr>
      <w:r>
        <w:t xml:space="preserve">If automatic unfair dismissal is established, compensation is uncapped and would comprise a basic award and a compensatory award reflecting past and future loss of earnings, subject to mitigation. Dr Whitmore’s gross annual remuneration package is approximately £104,000. Assuming a period of loss of around 18 months net of mitigation, and adding a modest injury-to-feelings award for the detriment claim (mid Vento band), a Tribunal award could realistically fall between £160,000 and £230,000, before any uplift for breach of the ACAS Code. A detailed schedule of loss prepared on Dr Whitmore’s figures is at the higher end of this range.</w:t>
      </w:r>
    </w:p>
    <w:p>
      <w:pPr>
        <w:pStyle w:val="Heading1"/>
      </w:pPr>
      <w:r>
        <w:t xml:space="preserve">5. Recommendation</w:t>
      </w:r>
    </w:p>
    <w:p>
      <w:pPr>
        <w:spacing w:after="120"/>
      </w:pPr>
      <w:r>
        <w:t xml:space="preserve">Given the litigation risk, the uncapped exposure, the reputational sensitivity of a whistleblowing dispute in a CQC-regulated business, and the management time a two-to-three day Tribunal hearing would absorb, we recommend an early without-prejudice approach. We suggest an opening offer of £120,000 inclusive, with authority to settle up to £185,000 inclusive plus a contribution to the claimant’s legal fees of up to £5,000 plus VAT, on terms including a full and final waiver, confidentiality, and an agreed reference. Any settlement must be documented in a settlement agreement compliant with section 203 ERA (independent legal advice; adviser’s certificate).</w:t>
      </w:r>
    </w:p>
    <w:p>
      <w:pPr>
        <w:spacing w:after="120"/>
      </w:pPr>
      <w:r>
        <w:t xml:space="preserve">We are ready to open negotiations on your instruction.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60"/>
      <w:jc w:val="center"/>
    </w:pPr>
    <w:r>
      <w:rPr>
        <w:color w:val="666666"/>
        <w:sz w:val="14"/>
        <w:szCs w:val="14"/>
      </w:rPr>
      <w:t xml:space="preserve">Whitfield Carter LLP is a limited liability partnership registered in England &amp; Wales (OC418872). Regulated by the SRA.</w:t>
    </w:r>
  </w:p>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620"/>
      </w:pPr>
    </w:lvl>
    <w:lvl w:ilvl="1" w15:tentative="1">
      <w:start w:val="1"/>
      <w:numFmt w:val="decimal"/>
      <w:lvlText w:val="%1.%2"/>
      <w:lvlJc w:val="left"/>
      <w:pPr>
        <w:ind w:left="1200" w:hanging="620"/>
      </w:pPr>
    </w:lvl>
    <w:lvl w:ilvl="2" w15:tentative="1">
      <w:start w:val="1"/>
      <w:numFmt w:val="lowerLetter"/>
      <w:lvlText w:val="(%3)"/>
      <w:lvlJc w:val="left"/>
      <w:pPr>
        <w:ind w:left="1740" w:hanging="540"/>
      </w:pPr>
    </w:lvl>
  </w:abstractNum>
  <w:abstractNum w:abstractNumId="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2026-07-01T03:05:17.696Z</dcterms:created>
  <dcterms:modified xsi:type="dcterms:W3CDTF">2026-07-01T03:05:17.696Z</dcterms:modified>
</cp:coreProperties>
</file>

<file path=docProps/custom.xml><?xml version="1.0" encoding="utf-8"?>
<Properties xmlns="http://schemas.openxmlformats.org/officeDocument/2006/custom-properties" xmlns:vt="http://schemas.openxmlformats.org/officeDocument/2006/docPropsVTypes"/>
</file>