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CONTRACT OF EMPLOYMENT</w:t>
      </w:r>
    </w:p>
    <w:p>
      <w:pPr>
        <w:spacing w:after="240"/>
        <w:jc w:val="center"/>
      </w:pPr>
      <w:r>
        <w:rPr>
          <w:i/>
          <w:iCs/>
        </w:rPr>
        <w:t xml:space="preserve">and Statement of Written Particulars (section 1, Employment Rights Act 1996)</w:t>
      </w:r>
    </w:p>
    <w:p>
      <w:pPr>
        <w:spacing w:after="120"/>
      </w:pPr>
      <w:r>
        <w:rPr>
          <w:b/>
          <w:bCs/>
        </w:rPr>
        <w:t xml:space="preserve">THIS AGREEMENT is made on 28 August 2018</w:t>
      </w:r>
    </w:p>
    <w:p>
      <w:pPr>
        <w:spacing w:after="120"/>
      </w:pPr>
      <w:r>
        <w:rPr>
          <w:b/>
          <w:bCs/>
        </w:rPr>
        <w:t xml:space="preserve">BETWEEN:</w:t>
      </w:r>
    </w:p>
    <w:p>
      <w:pPr>
        <w:pStyle w:val="ListParagraph"/>
        <w:numPr>
          <w:ilvl w:val="0"/>
          <w:numId w:val="2"/>
        </w:numPr>
        <w:spacing w:after="120"/>
      </w:pPr>
      <w:r>
        <w:t xml:space="preserve">Ashbourne Healthcare Group Limited (company number 06842211) whose registered office is at Kingsmead House, 47 Priory Road, Reading RG1 4NP (the “Company”); and</w:t>
      </w:r>
    </w:p>
    <w:p>
      <w:pPr>
        <w:pStyle w:val="ListParagraph"/>
        <w:numPr>
          <w:ilvl w:val="0"/>
          <w:numId w:val="2"/>
        </w:numPr>
        <w:spacing w:after="120"/>
      </w:pPr>
      <w:r>
        <w:t xml:space="preserve">Dr Rebecca Anne Whitmore of 14 Cranmer Gardens, Wokingham RG40 2LS (the “Employee”).</w:t>
      </w:r>
    </w:p>
    <w:p>
      <w:pPr>
        <w:pStyle w:val="Heading1"/>
      </w:pPr>
      <w:r>
        <w:t xml:space="preserve">1. Commencement and continuous employment</w:t>
      </w:r>
    </w:p>
    <w:p>
      <w:pPr>
        <w:pStyle w:val="ListParagraph"/>
        <w:numPr>
          <w:ilvl w:val="1"/>
          <w:numId w:val="2"/>
        </w:numPr>
        <w:spacing w:after="120"/>
      </w:pPr>
      <w:r>
        <w:t xml:space="preserve">The Employee’s employment with the Company began on 3 September 2018. No employment with a previous employer counts as part of the Employee’s continuous period of employment.</w:t>
      </w:r>
    </w:p>
    <w:p>
      <w:pPr>
        <w:pStyle w:val="ListParagraph"/>
        <w:numPr>
          <w:ilvl w:val="1"/>
          <w:numId w:val="2"/>
        </w:numPr>
        <w:spacing w:after="120"/>
      </w:pPr>
      <w:r>
        <w:t xml:space="preserve">The Employee’s employment is subject to the terms of this Agreement and to the Company’s policies and procedures as amended from time to time, which (save where expressly incorporated) are not contractual.</w:t>
      </w:r>
    </w:p>
    <w:p>
      <w:pPr>
        <w:pStyle w:val="Heading1"/>
      </w:pPr>
      <w:r>
        <w:t xml:space="preserve">2. Job title and duties</w:t>
      </w:r>
    </w:p>
    <w:p>
      <w:pPr>
        <w:pStyle w:val="ListParagraph"/>
        <w:numPr>
          <w:ilvl w:val="1"/>
          <w:numId w:val="2"/>
        </w:numPr>
        <w:spacing w:after="120"/>
      </w:pPr>
      <w:r>
        <w:t xml:space="preserve">The Employee is employed as Clinical Governance Lead and, from 1 April 2021, additionally holds the position of Registered Manager (within the meaning of the Health and Social Care Act 2008) of the Company’s Ferndene Court care home.</w:t>
      </w:r>
    </w:p>
    <w:p>
      <w:pPr>
        <w:pStyle w:val="ListParagraph"/>
        <w:numPr>
          <w:ilvl w:val="1"/>
          <w:numId w:val="2"/>
        </w:numPr>
        <w:spacing w:after="120"/>
      </w:pPr>
      <w:r>
        <w:t xml:space="preserve">The Employee shall devote the whole of her working time, attention and abilities to the business of the Company and shall faithfully and diligently perform such duties consistent with her position as may reasonably be assigned to her.</w:t>
      </w:r>
    </w:p>
    <w:p>
      <w:pPr>
        <w:pStyle w:val="ListParagraph"/>
        <w:numPr>
          <w:ilvl w:val="1"/>
          <w:numId w:val="2"/>
        </w:numPr>
        <w:spacing w:after="120"/>
      </w:pPr>
      <w:r>
        <w:t xml:space="preserve">The Employee shall comply at all times with the requirements of the Care Quality Commission and applicable regulatory standards, and shall promptly report any matter which may give rise to a risk to the health, safety or welfare of residents.</w:t>
      </w:r>
    </w:p>
    <w:p>
      <w:pPr>
        <w:pStyle w:val="Heading1"/>
      </w:pPr>
      <w:r>
        <w:t xml:space="preserve">3. Place of work</w:t>
      </w:r>
    </w:p>
    <w:p>
      <w:pPr>
        <w:pStyle w:val="ListParagraph"/>
        <w:numPr>
          <w:ilvl w:val="1"/>
          <w:numId w:val="2"/>
        </w:numPr>
        <w:spacing w:after="120"/>
      </w:pPr>
      <w:r>
        <w:t xml:space="preserve">The Employee’s normal place of work is Ferndene Court, Loddon Way, Reading RG2 7XT. The Employee may be required to work at or travel to other sites operated by the Company within the East Region as reasonably required.</w:t>
      </w:r>
    </w:p>
    <w:p>
      <w:pPr>
        <w:pStyle w:val="Heading1"/>
      </w:pPr>
      <w:r>
        <w:t xml:space="preserve">4. Remuneration</w:t>
      </w:r>
    </w:p>
    <w:p>
      <w:pPr>
        <w:pStyle w:val="ListParagraph"/>
        <w:numPr>
          <w:ilvl w:val="1"/>
          <w:numId w:val="2"/>
        </w:numPr>
        <w:spacing w:after="120"/>
      </w:pPr>
      <w:r>
        <w:t xml:space="preserve">The Company shall pay the Employee an annual salary, which as at the date of this Agreement is £68,000 per annum, payable in equal monthly instalments in arrears on the last working day of each month. The salary shall be reviewed annually, with no obligation to increase it.</w:t>
      </w:r>
    </w:p>
    <w:p>
      <w:pPr>
        <w:pStyle w:val="ListParagraph"/>
        <w:numPr>
          <w:ilvl w:val="1"/>
          <w:numId w:val="2"/>
        </w:numPr>
        <w:spacing w:after="120"/>
      </w:pPr>
      <w:r>
        <w:t xml:space="preserve">The Employee is eligible to participate in the Company’s discretionary annual bonus scheme, with an on-target opportunity of up to 15% of base salary, subject to the rules of the scheme in force from time to time. Payment of any bonus is entirely at the discretion of the Company.</w:t>
      </w:r>
    </w:p>
    <w:p>
      <w:pPr>
        <w:pStyle w:val="Heading1"/>
      </w:pPr>
      <w:r>
        <w:t xml:space="preserve">5. Hours of work</w:t>
      </w:r>
    </w:p>
    <w:p>
      <w:pPr>
        <w:pStyle w:val="ListParagraph"/>
        <w:numPr>
          <w:ilvl w:val="1"/>
          <w:numId w:val="2"/>
        </w:numPr>
        <w:spacing w:after="120"/>
      </w:pPr>
      <w:r>
        <w:t xml:space="preserve">The Employee’s normal hours of work are 9.00am to 5.30pm Monday to Friday, together with such additional hours as may reasonably be required for the proper performance of her duties, for which no additional remuneration is payable. Given the nature of a regulated care setting, the Employee may be required to be available outside normal hours to respond to urgent operational or clinical matters.</w:t>
      </w:r>
    </w:p>
    <w:p>
      <w:pPr>
        <w:pStyle w:val="Heading1"/>
      </w:pPr>
      <w:r>
        <w:t xml:space="preserve">6. Holiday</w:t>
      </w:r>
    </w:p>
    <w:p>
      <w:pPr>
        <w:pStyle w:val="ListParagraph"/>
        <w:numPr>
          <w:ilvl w:val="1"/>
          <w:numId w:val="2"/>
        </w:numPr>
        <w:spacing w:after="120"/>
      </w:pPr>
      <w:r>
        <w:t xml:space="preserve">The Employee is entitled to 28 days’ paid holiday per holiday year (1 January to 31 December), inclusive of the usual public holidays in England and Wales, rising to 30 days after five years’ continuous service.</w:t>
      </w:r>
    </w:p>
    <w:p>
      <w:pPr>
        <w:pStyle w:val="Heading1"/>
      </w:pPr>
      <w:r>
        <w:t xml:space="preserve">7. Sickness and other benefits</w:t>
      </w:r>
    </w:p>
    <w:p>
      <w:pPr>
        <w:pStyle w:val="ListParagraph"/>
        <w:numPr>
          <w:ilvl w:val="1"/>
          <w:numId w:val="2"/>
        </w:numPr>
        <w:spacing w:after="120"/>
      </w:pPr>
      <w:r>
        <w:t xml:space="preserve">The Employee is entitled to Company sick pay in accordance with the Company’s sickness absence policy, and to membership of the Company’s pension scheme, private medical insurance and life assurance arrangements, in each case subject to the eligibility rules and the terms of the relevant scheme.</w:t>
      </w:r>
    </w:p>
    <w:p>
      <w:pPr>
        <w:pStyle w:val="Heading1"/>
      </w:pPr>
      <w:r>
        <w:t xml:space="preserve">8. Confidential information</w:t>
      </w:r>
    </w:p>
    <w:p>
      <w:pPr>
        <w:pStyle w:val="ListParagraph"/>
        <w:numPr>
          <w:ilvl w:val="1"/>
          <w:numId w:val="2"/>
        </w:numPr>
        <w:spacing w:after="120"/>
      </w:pPr>
      <w:r>
        <w:t xml:space="preserve">The Employee shall not, either during her employment (except in the proper performance of her duties) or at any time after its termination, use or disclose to any person any Confidential Information. “Confidential Information” means information relating to the business, residents, employees, finances, methods and affairs of the Company or any Group Company, including resident and clinical records, staffing data, commercial terms and strategic plans.</w:t>
      </w:r>
    </w:p>
    <w:p>
      <w:pPr>
        <w:pStyle w:val="ListParagraph"/>
        <w:numPr>
          <w:ilvl w:val="1"/>
          <w:numId w:val="2"/>
        </w:numPr>
        <w:spacing w:after="120"/>
      </w:pPr>
      <w:r>
        <w:t xml:space="preserve">Nothing in this Agreement prevents the Employee from making a protected disclosure within the meaning of section 43A of the Employment Rights Act 1996, or from reporting a matter to a regulator such as the Care Quality Commission.</w:t>
      </w:r>
    </w:p>
    <w:p>
      <w:pPr>
        <w:pStyle w:val="Heading1"/>
      </w:pPr>
      <w:r>
        <w:t xml:space="preserve">9. Notice of termination</w:t>
      </w:r>
    </w:p>
    <w:p>
      <w:pPr>
        <w:pStyle w:val="ListParagraph"/>
        <w:numPr>
          <w:ilvl w:val="1"/>
          <w:numId w:val="2"/>
        </w:numPr>
        <w:spacing w:after="120"/>
      </w:pPr>
      <w:r>
        <w:t xml:space="preserve">After the successful completion of the probationary period, the employment may be terminated by either party giving to the other not less than three months’ written notice. The Company reserves the right to make a payment in lieu of notice (in respect of basic salary only) or to place the Employee on garden leave during any notice period.</w:t>
      </w:r>
    </w:p>
    <w:p>
      <w:pPr>
        <w:pStyle w:val="Heading1"/>
      </w:pPr>
      <w:r>
        <w:t xml:space="preserve">10. Post-termination restrictions</w:t>
      </w:r>
    </w:p>
    <w:p>
      <w:pPr>
        <w:pStyle w:val="ListParagraph"/>
        <w:numPr>
          <w:ilvl w:val="1"/>
          <w:numId w:val="2"/>
        </w:numPr>
        <w:spacing w:after="120"/>
      </w:pPr>
      <w:r>
        <w:t xml:space="preserve">For a period of six months following termination, the Employee shall not, within the counties of Berkshire, Oxfordshire and Hampshire, be employed or engaged by any business which competes with the regulated care activities of the Company, nor solicit or entice away any senior employee, nor solicit the custom of any resident or commissioning authority with whom she dealt in the 12 months before termination. Each restriction is a separate and severable undertaking.</w:t>
      </w:r>
    </w:p>
    <w:p>
      <w:pPr>
        <w:pStyle w:val="Heading1"/>
      </w:pPr>
      <w:r>
        <w:t xml:space="preserve">11. Governing law</w:t>
      </w:r>
    </w:p>
    <w:p>
      <w:pPr>
        <w:pStyle w:val="ListParagraph"/>
        <w:numPr>
          <w:ilvl w:val="1"/>
          <w:numId w:val="2"/>
        </w:numPr>
        <w:spacing w:after="120"/>
      </w:pPr>
      <w:r>
        <w:t xml:space="preserve">This Agreement is governed by the law of England and Wales, and the parties submit to the exclusive jurisdiction of the courts of England and Wales and (in respect of statutory employment claims) the Employment Tribunals.</w:t>
      </w:r>
    </w:p>
    <w:p>
      <w:pPr>
        <w:spacing w:after="80"/>
      </w:pPr>
      <w:r>
        <w:t xml:space="preserve"/>
      </w:r>
    </w:p>
    <w:p>
      <w:pPr>
        <w:spacing w:after="120"/>
      </w:pPr>
      <w:r>
        <w:rPr>
          <w:b/>
          <w:bCs/>
        </w:rPr>
        <w:t xml:space="preserve">SIGNED by the parties on the date first above written.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Signed for the Company</w:t>
            </w:r>
          </w:p>
        </w:tc>
        <w:tc>
          <w:tcPr>
            <w:tcW w:type="dxa" w:w="57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________________________   Iqbal Rahman, Chief Executive</w:t>
            </w:r>
          </w:p>
        </w:tc>
      </w:tr>
      <w:tr>
        <w:tc>
          <w:tcPr>
            <w:tcW w:type="dxa" w:w="36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Signed by the Employee</w:t>
            </w:r>
          </w:p>
        </w:tc>
        <w:tc>
          <w:tcPr>
            <w:tcW w:type="dxa" w:w="57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________________________   Dr Rebecca Anne Whitmore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60"/>
      <w:jc w:val="center"/>
    </w:pPr>
    <w:r>
      <w:rPr>
        <w:color w:val="666666"/>
        <w:sz w:val="14"/>
        <w:szCs w:val="14"/>
      </w:rPr>
      <w:t xml:space="preserve">Whitfield Carter LLP is a limited liability partnership registered in England &amp; Wales (OC418872). Regulated by the SRA.</w:t>
    </w:r>
  </w:p>
  <w:p>
    <w:pPr>
      <w:jc w:val="center"/>
    </w:pPr>
    <w:r>
      <w:rPr>
        <w:color w:val="666666"/>
        <w:sz w:val="14"/>
        <w:szCs w:val="14"/>
      </w:rPr>
      <w:t xml:space="preserve">Page </w:t>
    </w:r>
    <w:r>
      <w:rPr>
        <w:color w:val="666666"/>
        <w:sz w:val="14"/>
        <w:szCs w:val="14"/>
      </w:rPr>
      <w:fldChar w:fldCharType="begin"/>
      <w:instrText xml:space="preserve">PAGE</w:instrText>
      <w:fldChar w:fldCharType="separate"/>
      <w:fldChar w:fldCharType="end"/>
    </w:r>
    <w:r>
      <w:rPr>
        <w:color w:val="666666"/>
        <w:sz w:val="14"/>
        <w:szCs w:val="14"/>
      </w:rPr>
      <w:t xml:space="preserve"> of </w:t>
    </w:r>
    <w:r>
      <w:rPr>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620"/>
      </w:pPr>
    </w:lvl>
    <w:lvl w:ilvl="1" w15:tentative="1">
      <w:start w:val="1"/>
      <w:numFmt w:val="decimal"/>
      <w:lvlText w:val="%1.%2"/>
      <w:lvlJc w:val="left"/>
      <w:pPr>
        <w:ind w:left="1200" w:hanging="620"/>
      </w:pPr>
    </w:lvl>
    <w:lvl w:ilvl="2" w15:tentative="1">
      <w:start w:val="1"/>
      <w:numFmt w:val="lowerLetter"/>
      <w:lvlText w:val="(%3)"/>
      <w:lvlJc w:val="left"/>
      <w:pPr>
        <w:ind w:left="1740" w:hanging="540"/>
      </w:pPr>
    </w:lvl>
  </w:abstractNum>
  <w:abstractNum w:abstractNumId="3"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2026-07-01T03:05:17.828Z</dcterms:created>
  <dcterms:modified xsi:type="dcterms:W3CDTF">2026-07-01T03:05:17.828Z</dcterms:modified>
</cp:coreProperties>
</file>

<file path=docProps/custom.xml><?xml version="1.0" encoding="utf-8"?>
<Properties xmlns="http://schemas.openxmlformats.org/officeDocument/2006/custom-properties" xmlns:vt="http://schemas.openxmlformats.org/officeDocument/2006/docPropsVTypes"/>
</file>