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t xml:space="preserve">14 January 2025</w:t>
      </w:r>
    </w:p>
    <w:p>
      <w:pPr>
        <w:spacing w:after="120"/>
      </w:pPr>
      <w:r>
        <w:rPr>
          <w:b/>
          <w:bCs/>
        </w:rPr>
        <w:t xml:space="preserve">STRICTLY PRIVATE &amp; CONFIDENTIAL</w:t>
      </w:r>
    </w:p>
    <w:p>
      <w:pPr>
        <w:spacing w:after="120"/>
      </w:pPr>
      <w:r>
        <w:t xml:space="preserve">Mr Daniel Pryce</w:t>
      </w:r>
    </w:p>
    <w:p>
      <w:pPr>
        <w:spacing w:after="120"/>
      </w:pPr>
      <w:r>
        <w:t xml:space="preserve">General Counsel &amp; Company Secretary</w:t>
      </w:r>
    </w:p>
    <w:p>
      <w:pPr>
        <w:spacing w:after="120"/>
      </w:pPr>
      <w:r>
        <w:t xml:space="preserve">Ashbourne Healthcare Group Limited</w:t>
      </w:r>
    </w:p>
    <w:p>
      <w:pPr>
        <w:spacing w:after="120"/>
      </w:pPr>
      <w:r>
        <w:t xml:space="preserve">Kingsmead House, 47 Priory Road, Reading RG1 4NP</w:t>
      </w:r>
    </w:p>
    <w:p>
      <w:pPr>
        <w:spacing w:after="80"/>
      </w:pPr>
      <w:r>
        <w:t xml:space="preserve"/>
      </w:r>
    </w:p>
    <w:p>
      <w:pPr>
        <w:spacing w:after="120"/>
      </w:pPr>
      <w:r>
        <w:rPr>
          <w:b/>
          <w:bCs/>
        </w:rPr>
        <w:t xml:space="preserve">Dear Daniel</w:t>
      </w:r>
    </w:p>
    <w:p>
      <w:pPr>
        <w:spacing w:after="120"/>
      </w:pPr>
      <w:r>
        <w:rPr>
          <w:b/>
          <w:bCs/>
        </w:rPr>
        <w:t xml:space="preserve">Re: Dr Rebecca Whitmore — potential employment claims arising from termination of employment</w:t>
      </w:r>
    </w:p>
    <w:p>
      <w:pPr>
        <w:spacing w:after="120"/>
      </w:pPr>
      <w:r>
        <w:t xml:space="preserve">Thank you for instructing Whitfield Carter LLP in connection with the above matter. This letter, together with our enclosed Terms of Business, sets out the basis on which we will act for Ashbourne Healthcare Group Limited (the “Company”, “you”) in relation to the employment issues concerning Dr Rebecca Whitmore, formerly Clinical Governance Lead and Registered Manager of the Company’s Ferndene Court care home.</w:t>
      </w:r>
    </w:p>
    <w:p>
      <w:pPr>
        <w:pStyle w:val="Heading2"/>
      </w:pPr>
      <w:r>
        <w:t xml:space="preserve">1. Scope of our engagement</w:t>
      </w:r>
    </w:p>
    <w:p>
      <w:pPr>
        <w:spacing w:after="120"/>
      </w:pPr>
      <w:r>
        <w:t xml:space="preserve">We understand that Dr Whitmore’s employment terminated on 20 December 2024 on grounds stated by the Company to be redundancy following an operational restructuring of the Company’s East Region. Dr Whitmore, through her solicitors Ashworth Quinn LLP, has intimated claims of automatic unfair dismissal and detriment on the ground of having made protected disclosures (sections 103A and 47B of the Employment Rights Act 1996), together with a claim of “ordinary” unfair dismissal. Our instructions are to:</w:t>
      </w:r>
    </w:p>
    <w:p>
      <w:pPr>
        <w:pStyle w:val="ListParagraph"/>
        <w:numPr>
          <w:ilvl w:val="0"/>
          <w:numId w:val="2"/>
        </w:numPr>
        <w:spacing w:after="80"/>
      </w:pPr>
      <w:r>
        <w:t xml:space="preserve">advise on the merits of the intimated claims and the Company’s exposure, including the disapplication of the statutory cap where automatic unfair dismissal is established;</w:t>
      </w:r>
    </w:p>
    <w:p>
      <w:pPr>
        <w:pStyle w:val="ListParagraph"/>
        <w:numPr>
          <w:ilvl w:val="0"/>
          <w:numId w:val="2"/>
        </w:numPr>
        <w:spacing w:after="80"/>
      </w:pPr>
      <w:r>
        <w:t xml:space="preserve">review the circumstances of the disclosures said to have been made by Dr Whitmore between June and November 2024 and the decision-making leading to her selection for redundancy;</w:t>
      </w:r>
    </w:p>
    <w:p>
      <w:pPr>
        <w:pStyle w:val="ListParagraph"/>
        <w:numPr>
          <w:ilvl w:val="0"/>
          <w:numId w:val="2"/>
        </w:numPr>
        <w:spacing w:after="80"/>
      </w:pPr>
      <w:r>
        <w:t xml:space="preserve">advise on and, if instructed, conduct without-prejudice settlement negotiations with Ashworth Quinn LLP; and</w:t>
      </w:r>
    </w:p>
    <w:p>
      <w:pPr>
        <w:pStyle w:val="ListParagraph"/>
        <w:numPr>
          <w:ilvl w:val="0"/>
          <w:numId w:val="2"/>
        </w:numPr>
        <w:spacing w:after="80"/>
      </w:pPr>
      <w:r>
        <w:t xml:space="preserve">prepare or review any settlement agreement or ACAS COT3 to give effect to a negotiated settlement.</w:t>
      </w:r>
    </w:p>
    <w:p>
      <w:pPr>
        <w:spacing w:after="120"/>
      </w:pPr>
      <w:r>
        <w:t xml:space="preserve">This engagement does not extend to any regulatory matters before the Care Quality Commission, which are being handled separately under our file reference WC-00189.</w:t>
      </w:r>
    </w:p>
    <w:p>
      <w:pPr>
        <w:pStyle w:val="Heading2"/>
      </w:pPr>
      <w:r>
        <w:t xml:space="preserve">2. The team</w:t>
      </w:r>
    </w:p>
    <w:p>
      <w:pPr>
        <w:spacing w:after="120"/>
      </w:pPr>
      <w:r>
        <w:t xml:space="preserve">The partner responsible for this matter is Sarah Whitfield. The day-to-day conduct of the matter will be handled by Elena Marchetti (Associate), supported by Tom Gallagher (Associate). You may contact any member of the team at the details set out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Sarah Whitfield</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Partner — sarah.whitfield@whitfieldcarter.com</w:t>
            </w:r>
          </w:p>
        </w:tc>
      </w:tr>
      <w:tr>
        <w:tc>
          <w:tcPr>
            <w:tcW w:type="dxa" w:w="30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Elena Marchetti</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Associate — elena.marchetti@whitfieldcarter.com</w:t>
            </w:r>
          </w:p>
        </w:tc>
      </w:tr>
      <w:tr>
        <w:tc>
          <w:tcPr>
            <w:tcW w:type="dxa" w:w="3000"/>
            <w:tcBorders>
              <w:top w:val="single" w:color="BBBBBB" w:sz="1"/>
              <w:left w:val="single" w:color="BBBBBB" w:sz="1"/>
              <w:bottom w:val="single" w:color="BBBBBB" w:sz="1"/>
              <w:right w:val="single" w:color="BBBBBB" w:sz="1"/>
            </w:tcBorders>
            <w:shd w:fill="F0F3F8" w:val="clear"/>
            <w:tcMar>
              <w:top w:type="dxa" w:w="60"/>
              <w:left w:type="dxa" w:w="120"/>
              <w:bottom w:type="dxa" w:w="60"/>
              <w:right w:type="dxa" w:w="120"/>
            </w:tcMar>
          </w:tcPr>
          <w:p>
            <w:r>
              <w:rPr>
                <w:b/>
                <w:bCs/>
              </w:rPr>
              <w:t xml:space="preserve">Tom Gallagher</w:t>
            </w:r>
          </w:p>
        </w:tc>
        <w:tc>
          <w:tcPr>
            <w:tcW w:type="dxa" w:w="6360"/>
            <w:tcBorders>
              <w:top w:val="single" w:color="BBBBBB" w:sz="1"/>
              <w:left w:val="single" w:color="BBBBBB" w:sz="1"/>
              <w:bottom w:val="single" w:color="BBBBBB" w:sz="1"/>
              <w:right w:val="single" w:color="BBBBBB" w:sz="1"/>
            </w:tcBorders>
            <w:tcMar>
              <w:top w:type="dxa" w:w="60"/>
              <w:left w:type="dxa" w:w="120"/>
              <w:bottom w:type="dxa" w:w="60"/>
              <w:right w:type="dxa" w:w="120"/>
            </w:tcMar>
          </w:tcPr>
          <w:p>
            <w:r>
              <w:t xml:space="preserve">Associate — tom.gallagher@whitfieldcarter.com</w:t>
            </w:r>
          </w:p>
        </w:tc>
      </w:tr>
    </w:tbl>
    <w:p>
      <w:pPr>
        <w:pStyle w:val="Heading2"/>
      </w:pPr>
      <w:r>
        <w:t xml:space="preserve">3. Fees and estimate</w:t>
      </w:r>
    </w:p>
    <w:p>
      <w:pPr>
        <w:spacing w:after="120"/>
      </w:pPr>
      <w:r>
        <w:t xml:space="preserve">Our fees are charged by reference to time spent at the hourly rates set out in the enclosed schedule (Ms Whitfield £620; Ms Marchetti £395; Mr Gallagher £320, each exclusive of VAT). Based on our current understanding, we estimate our fees for advising on merits and conducting settlement negotiations to a concluded settlement agreement will be in the region of £18,000 to £25,000 plus VAT and disbursements. Should the matter proceed to Employment Tribunal proceedings, we will provide a revised estimate. We will notify you promptly if it appears the estimate is likely to be exceeded.</w:t>
      </w:r>
    </w:p>
    <w:p>
      <w:pPr>
        <w:pStyle w:val="Heading2"/>
      </w:pPr>
      <w:r>
        <w:t xml:space="preserve">4. Privilege and confidentiality</w:t>
      </w:r>
    </w:p>
    <w:p>
      <w:pPr>
        <w:spacing w:after="120"/>
      </w:pPr>
      <w:r>
        <w:t xml:space="preserve">Communications between us for the purpose of giving or receiving legal advice are protected by legal advice privilege. Correspondence with the other side conducted on a “without prejudice” basis is privileged from disclosure in any proceedings save as to costs. We would ask that internal circulation of our advice within the Company be limited to those with a genuine need to know, in order to preserve privilege.</w:t>
      </w:r>
    </w:p>
    <w:p>
      <w:pPr>
        <w:pStyle w:val="Heading2"/>
      </w:pPr>
      <w:r>
        <w:t xml:space="preserve">5. Acceptance</w:t>
      </w:r>
    </w:p>
    <w:p>
      <w:pPr>
        <w:spacing w:after="120"/>
      </w:pPr>
      <w:r>
        <w:t xml:space="preserve">Please confirm your acceptance of this engagement and the enclosed Terms of Business by signing and returning the enclosed copy of this letter, or by confirming your agreement by email. We are grateful for your instructions and look forward to working with you on this matter.</w:t>
      </w:r>
    </w:p>
    <w:p>
      <w:pPr>
        <w:spacing w:after="80"/>
      </w:pPr>
      <w:r>
        <w:t xml:space="preserve"/>
      </w:r>
    </w:p>
    <w:p>
      <w:pPr>
        <w:spacing w:after="120"/>
      </w:pPr>
      <w:r>
        <w:t xml:space="preserve">Yours faithfully,</w:t>
      </w:r>
    </w:p>
    <w:p>
      <w:pPr>
        <w:spacing w:after="80"/>
      </w:pPr>
      <w:r>
        <w:t xml:space="preserve"/>
      </w:r>
    </w:p>
    <w:p>
      <w:pPr>
        <w:spacing w:after="80"/>
      </w:pPr>
      <w:r>
        <w:t xml:space="preserve"/>
      </w:r>
    </w:p>
    <w:p>
      <w:pPr>
        <w:spacing w:after="120"/>
      </w:pPr>
      <w:r>
        <w:rPr>
          <w:b/>
          <w:bCs/>
        </w:rPr>
        <w:t xml:space="preserve">Sarah Whitfield</w:t>
      </w:r>
    </w:p>
    <w:p>
      <w:pPr>
        <w:spacing w:after="120"/>
      </w:pPr>
      <w:r>
        <w:t xml:space="preserve">Partner</w:t>
      </w:r>
    </w:p>
    <w:p>
      <w:pPr>
        <w:spacing w:after="120"/>
      </w:pPr>
      <w:r>
        <w:t xml:space="preserve">For and on behalf of Whitfield Carter LLP</w:t>
      </w:r>
    </w:p>
    <w:p>
      <w:pPr>
        <w:spacing w:after="80"/>
      </w:pPr>
      <w:r>
        <w:t xml:space="preserve"/>
      </w:r>
    </w:p>
    <w:p>
      <w:pPr>
        <w:spacing w:after="120"/>
      </w:pPr>
      <w:r>
        <w:rPr>
          <w:i/>
          <w:iCs/>
        </w:rPr>
        <w:t xml:space="preserve">Enc: Terms of Business; Schedule of Hourly Rates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60"/>
      <w:jc w:val="center"/>
    </w:pPr>
    <w:r>
      <w:rPr>
        <w:color w:val="666666"/>
        <w:sz w:val="14"/>
        <w:szCs w:val="14"/>
      </w:rPr>
      <w:t xml:space="preserve">Whitfield Carter LLP is a limited liability partnership registered in England &amp; Wales (OC418872). Regulated by the SRA.</w:t>
    </w:r>
  </w:p>
  <w:p>
    <w:pPr>
      <w:jc w:val="center"/>
    </w:pPr>
    <w:r>
      <w:rPr>
        <w:color w:val="666666"/>
        <w:sz w:val="14"/>
        <w:szCs w:val="14"/>
      </w:rPr>
      <w:t xml:space="preserve">Page </w:t>
    </w:r>
    <w:r>
      <w:rPr>
        <w:color w:val="666666"/>
        <w:sz w:val="14"/>
        <w:szCs w:val="14"/>
      </w:rPr>
      <w:fldChar w:fldCharType="begin"/>
      <w:instrText xml:space="preserve">PAGE</w:instrText>
      <w:fldChar w:fldCharType="separate"/>
      <w:fldChar w:fldCharType="end"/>
    </w:r>
    <w:r>
      <w:rPr>
        <w:color w:val="666666"/>
        <w:sz w:val="14"/>
        <w:szCs w:val="14"/>
      </w:rPr>
      <w:t xml:space="preserve"> of </w:t>
    </w:r>
    <w:r>
      <w:rPr>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sz w:val="26"/>
        <w:szCs w:val="26"/>
      </w:rPr>
      <w:t xml:space="preserve">Whitfield Carter LLP</w:t>
    </w:r>
  </w:p>
  <w:p>
    <w:pPr>
      <w:spacing w:after="0"/>
      <w:jc w:val="right"/>
    </w:pPr>
    <w:r>
      <w:rPr>
        <w:sz w:val="16"/>
        <w:szCs w:val="16"/>
      </w:rPr>
      <w:t xml:space="preserve">22 Bishopsgate, London EC2N 4BQ</w:t>
    </w:r>
  </w:p>
  <w:p>
    <w:pPr>
      <w:pBdr>
        <w:bottom w:val="single" w:color="1F3864" w:sz="6" w:space="6"/>
      </w:pBdr>
      <w:spacing w:after="120"/>
      <w:jc w:val="right"/>
    </w:pPr>
    <w:r>
      <w:rPr>
        <w:sz w:val="16"/>
        <w:szCs w:val="16"/>
      </w:rPr>
      <w:t xml:space="preserve">T +44 (0)20 7946 0500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620"/>
      </w:pPr>
    </w:lvl>
    <w:lvl w:ilvl="1" w15:tentative="1">
      <w:start w:val="1"/>
      <w:numFmt w:val="decimal"/>
      <w:lvlText w:val="%1.%2"/>
      <w:lvlJc w:val="left"/>
      <w:pPr>
        <w:ind w:left="1200" w:hanging="620"/>
      </w:pPr>
    </w:lvl>
    <w:lvl w:ilvl="2" w15:tentative="1">
      <w:start w:val="1"/>
      <w:numFmt w:val="lowerLetter"/>
      <w:lvlText w:val="(%3)"/>
      <w:lvlJc w:val="left"/>
      <w:pPr>
        <w:ind w:left="1740" w:hanging="540"/>
      </w:pPr>
    </w:lvl>
  </w:abstractNum>
  <w:abstractNum w:abstractNumId="3"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2026-07-01T03:05:17.635Z</dcterms:created>
  <dcterms:modified xsi:type="dcterms:W3CDTF">2026-07-01T03:05:17.635Z</dcterms:modified>
</cp:coreProperties>
</file>

<file path=docProps/custom.xml><?xml version="1.0" encoding="utf-8"?>
<Properties xmlns="http://schemas.openxmlformats.org/officeDocument/2006/custom-properties" xmlns:vt="http://schemas.openxmlformats.org/officeDocument/2006/docPropsVTypes"/>
</file>