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right"/>
      </w:pPr>
      <w:r>
        <w:t xml:space="preserve">2 December 2024</w:t>
      </w:r>
    </w:p>
    <w:p>
      <w:pPr>
        <w:spacing w:after="120"/>
      </w:pPr>
      <w:r>
        <w:rPr>
          <w:b/>
          <w:bCs/>
        </w:rPr>
        <w:t xml:space="preserve">PRIVATE &amp; CONFIDENTIAL — ADDRESSEE ONLY</w:t>
      </w:r>
    </w:p>
    <w:p>
      <w:pPr>
        <w:spacing w:after="120"/>
      </w:pPr>
      <w:r>
        <w:t xml:space="preserve">Dr Rebecca Whitmore</w:t>
      </w:r>
    </w:p>
    <w:p>
      <w:pPr>
        <w:spacing w:after="120"/>
      </w:pPr>
      <w:r>
        <w:t xml:space="preserve">14 Cranmer Gardens, Wokingham RG40 2LS</w:t>
      </w:r>
    </w:p>
    <w:p>
      <w:pPr>
        <w:spacing w:after="80"/>
      </w:pPr>
      <w:r>
        <w:t xml:space="preserve"/>
      </w:r>
    </w:p>
    <w:p>
      <w:pPr>
        <w:spacing w:after="120"/>
      </w:pPr>
      <w:r>
        <w:rPr>
          <w:b/>
          <w:bCs/>
        </w:rPr>
        <w:t xml:space="preserve">Dear Dr Whitmore</w:t>
      </w:r>
    </w:p>
    <w:p>
      <w:pPr>
        <w:spacing w:after="120"/>
      </w:pPr>
      <w:r>
        <w:rPr>
          <w:b/>
          <w:bCs/>
        </w:rPr>
        <w:t xml:space="preserve">Re: Outcome of your grievance dated 8 November 2024</w:t>
      </w:r>
    </w:p>
    <w:p>
      <w:pPr>
        <w:spacing w:after="120"/>
      </w:pPr>
      <w:r>
        <w:t xml:space="preserve">I write further to the grievance you raised on 8 November 2024, in which you complained that the proposal to place your role at risk of redundancy was connected to the concerns you had raised about staffing levels and medication-error reporting at Ferndene Court, and that you had been subjected to detriment as a result. Your grievance was heard by me on 22 November 2024, with HR support, and you were accompanied by a colleague.</w:t>
      </w:r>
    </w:p>
    <w:p>
      <w:pPr>
        <w:spacing w:after="120"/>
      </w:pPr>
      <w:r>
        <w:t xml:space="preserve">I have considered carefully the points you made and the documents you provided. My findings are as follows:</w:t>
      </w:r>
    </w:p>
    <w:p>
      <w:pPr>
        <w:pStyle w:val="ListParagraph"/>
        <w:numPr>
          <w:ilvl w:val="0"/>
          <w:numId w:val="2"/>
        </w:numPr>
        <w:spacing w:after="120"/>
      </w:pPr>
      <w:r>
        <w:t xml:space="preserve">The Company acknowledges that you raised concerns in good faith about night-time staffing ratios and the timeliness of medication-error reporting, and that these were matters properly within your remit as Clinical Governance Lead. The Company values the raising of such concerns.</w:t>
      </w:r>
    </w:p>
    <w:p>
      <w:pPr>
        <w:pStyle w:val="ListParagraph"/>
        <w:numPr>
          <w:ilvl w:val="0"/>
          <w:numId w:val="2"/>
        </w:numPr>
        <w:spacing w:after="120"/>
      </w:pPr>
      <w:r>
        <w:t xml:space="preserve">Having reviewed the restructuring proposal, I am satisfied that the decision to consolidate regional clinical oversight was taken for genuine operational reasons connected to the Group’s East Region cost base, and was not taken because of the concerns you raised. Accordingly, I do not uphold the grievance insofar as it alleges that the redundancy proposal was an act of detriment.</w:t>
      </w:r>
    </w:p>
    <w:p>
      <w:pPr>
        <w:pStyle w:val="ListParagraph"/>
        <w:numPr>
          <w:ilvl w:val="0"/>
          <w:numId w:val="2"/>
        </w:numPr>
        <w:spacing w:after="120"/>
      </w:pPr>
      <w:r>
        <w:t xml:space="preserve">I do, however, accept that the communication of the restructuring to you could have been handled more sensitively and that the consultation timetable was compressed. To that extent, your grievance is partially upheld, and I have asked HR to ensure that the remainder of the consultation is conducted with an appropriate opportunity for you to comment and to be considered for alternative roles.</w:t>
      </w:r>
    </w:p>
    <w:p>
      <w:pPr>
        <w:spacing w:after="120"/>
      </w:pPr>
      <w:r>
        <w:t xml:space="preserve">If you are dissatisfied with this outcome, you have the right to appeal in writing to the Chief Executive within five working days of receiving this letter, setting out your grounds of appeal.</w:t>
      </w:r>
    </w:p>
    <w:p>
      <w:pPr>
        <w:spacing w:after="120"/>
      </w:pPr>
      <w:r>
        <w:t xml:space="preserve">I recognise this is a difficult time and I would encourage you to make use of the Company’s Employee Assistance Programme, details of which are enclosed.</w:t>
      </w:r>
    </w:p>
    <w:p>
      <w:pPr>
        <w:spacing w:after="80"/>
      </w:pPr>
      <w:r>
        <w:t xml:space="preserve"/>
      </w:r>
    </w:p>
    <w:p>
      <w:pPr>
        <w:spacing w:after="120"/>
      </w:pPr>
      <w:r>
        <w:t xml:space="preserve">Yours sincerely,</w:t>
      </w:r>
    </w:p>
    <w:p>
      <w:pPr>
        <w:spacing w:after="80"/>
      </w:pPr>
      <w:r>
        <w:t xml:space="preserve"/>
      </w:r>
    </w:p>
    <w:p>
      <w:pPr>
        <w:spacing w:after="80"/>
      </w:pPr>
      <w:r>
        <w:t xml:space="preserve"/>
      </w:r>
    </w:p>
    <w:p>
      <w:pPr>
        <w:spacing w:after="120"/>
      </w:pPr>
      <w:r>
        <w:rPr>
          <w:b/>
          <w:bCs/>
        </w:rPr>
        <w:t xml:space="preserve">Lorna Keane</w:t>
      </w:r>
    </w:p>
    <w:p>
      <w:pPr>
        <w:spacing w:after="120"/>
      </w:pPr>
      <w:r>
        <w:t xml:space="preserve">Chief Operating Officer, Ashbourne Healthcare Group Limited</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999999" w:sz="4" w:space="4"/>
      </w:pBdr>
      <w:spacing w:before="60"/>
      <w:jc w:val="center"/>
    </w:pPr>
    <w:r>
      <w:rPr>
        <w:color w:val="666666"/>
        <w:sz w:val="14"/>
        <w:szCs w:val="14"/>
      </w:rPr>
      <w:t xml:space="preserve">Whitfield Carter LLP is a limited liability partnership registered in England &amp; Wales (OC418872). Regulated by the SRA.</w:t>
    </w:r>
  </w:p>
  <w:p>
    <w:pPr>
      <w:jc w:val="center"/>
    </w:pPr>
    <w:r>
      <w:rPr>
        <w:color w:val="666666"/>
        <w:sz w:val="14"/>
        <w:szCs w:val="14"/>
      </w:rPr>
      <w:t xml:space="preserve">Page </w:t>
    </w:r>
    <w:r>
      <w:rPr>
        <w:color w:val="666666"/>
        <w:sz w:val="14"/>
        <w:szCs w:val="14"/>
      </w:rPr>
      <w:fldChar w:fldCharType="begin"/>
      <w:instrText xml:space="preserve">PAGE</w:instrText>
      <w:fldChar w:fldCharType="separate"/>
      <w:fldChar w:fldCharType="end"/>
    </w:r>
    <w:r>
      <w:rPr>
        <w:color w:val="666666"/>
        <w:sz w:val="14"/>
        <w:szCs w:val="14"/>
      </w:rPr>
      <w:t xml:space="preserve"> of </w:t>
    </w:r>
    <w:r>
      <w:rPr>
        <w:color w:val="666666"/>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20" w:hanging="620"/>
      </w:pPr>
    </w:lvl>
    <w:lvl w:ilvl="1" w15:tentative="1">
      <w:start w:val="1"/>
      <w:numFmt w:val="decimal"/>
      <w:lvlText w:val="%1.%2"/>
      <w:lvlJc w:val="left"/>
      <w:pPr>
        <w:ind w:left="1200" w:hanging="620"/>
      </w:pPr>
    </w:lvl>
    <w:lvl w:ilvl="2" w15:tentative="1">
      <w:start w:val="1"/>
      <w:numFmt w:val="lowerLetter"/>
      <w:lvlText w:val="(%3)"/>
      <w:lvlJc w:val="left"/>
      <w:pPr>
        <w:ind w:left="1740" w:hanging="540"/>
      </w:pPr>
    </w:lvl>
  </w:abstractNum>
  <w:abstractNum w:abstractNumId="3" w15:restartNumberingAfterBreak="0">
    <w:multiLevelType w:val="hybridMultilevel"/>
    <w:lvl w:ilvl="0" w15:tentative="1">
      <w:start w:val="1"/>
      <w:numFmt w:val="bullet"/>
      <w:lvlText w:val="•"/>
      <w:lvlJc w:val="left"/>
      <w:pPr>
        <w:ind w:left="6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40"/>
      <w:outlineLvl w:val="0"/>
    </w:pPr>
    <w:rPr>
      <w:rFonts w:ascii="Arial" w:cs="Arial" w:eastAsia="Arial" w:hAnsi="Arial"/>
      <w:b/>
      <w:bCs/>
      <w:sz w:val="28"/>
      <w:szCs w:val="28"/>
    </w:rPr>
  </w:style>
  <w:style w:type="paragraph" w:styleId="Heading2">
    <w:name w:val="Heading 2"/>
    <w:basedOn w:val="Normal"/>
    <w:next w:val="Normal"/>
    <w:qFormat/>
    <w:pPr>
      <w:spacing w:after="120" w:before="180"/>
      <w:outlineLvl w:val="1"/>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2026-07-01T03:05:17.715Z</dcterms:created>
  <dcterms:modified xsi:type="dcterms:W3CDTF">2026-07-01T03:05:17.715Z</dcterms:modified>
</cp:coreProperties>
</file>

<file path=docProps/custom.xml><?xml version="1.0" encoding="utf-8"?>
<Properties xmlns="http://schemas.openxmlformats.org/officeDocument/2006/custom-properties" xmlns:vt="http://schemas.openxmlformats.org/officeDocument/2006/docPropsVTypes"/>
</file>