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t xml:space="preserve">11 February 2025</w:t>
      </w:r>
    </w:p>
    <w:p>
      <w:pPr>
        <w:spacing w:after="120"/>
      </w:pPr>
      <w:r>
        <w:rPr>
          <w:b/>
          <w:bCs/>
        </w:rPr>
        <w:t xml:space="preserve">WITHOUT PREJUDICE SAVE AS TO COSTS</w:t>
      </w:r>
    </w:p>
    <w:p>
      <w:pPr>
        <w:spacing w:after="120"/>
      </w:pPr>
      <w:r>
        <w:rPr>
          <w:i/>
          <w:iCs/>
        </w:rPr>
        <w:t xml:space="preserve">By email and post</w:t>
      </w:r>
    </w:p>
    <w:p>
      <w:pPr>
        <w:spacing w:after="80"/>
      </w:pPr>
      <w:r>
        <w:t xml:space="preserve"/>
      </w:r>
    </w:p>
    <w:p>
      <w:pPr>
        <w:spacing w:after="120"/>
      </w:pPr>
      <w:r>
        <w:t xml:space="preserve">Ms Eleanor Bartlett</w:t>
      </w:r>
    </w:p>
    <w:p>
      <w:pPr>
        <w:spacing w:after="120"/>
      </w:pPr>
      <w:r>
        <w:t xml:space="preserve">Partner</w:t>
      </w:r>
    </w:p>
    <w:p>
      <w:pPr>
        <w:spacing w:after="120"/>
      </w:pPr>
      <w:r>
        <w:t xml:space="preserve">Ashworth Quinn LLP</w:t>
      </w:r>
    </w:p>
    <w:p>
      <w:pPr>
        <w:spacing w:after="120"/>
      </w:pPr>
      <w:r>
        <w:t xml:space="preserve">30 Finsbury Circus, London EC2M 7EA</w:t>
      </w:r>
    </w:p>
    <w:p>
      <w:pPr>
        <w:spacing w:after="80"/>
      </w:pPr>
      <w:r>
        <w:t xml:space="preserve"/>
      </w:r>
    </w:p>
    <w:p>
      <w:pPr>
        <w:spacing w:after="120"/>
      </w:pPr>
      <w:r>
        <w:rPr>
          <w:b/>
          <w:bCs/>
        </w:rPr>
        <w:t xml:space="preserve">Dear Ms Bartlett</w:t>
      </w:r>
    </w:p>
    <w:p>
      <w:pPr>
        <w:spacing w:after="120"/>
      </w:pPr>
      <w:r>
        <w:rPr>
          <w:b/>
          <w:bCs/>
        </w:rPr>
        <w:t xml:space="preserve">Re: Dr Rebecca Whitmore — Without Prejudice</w:t>
      </w:r>
    </w:p>
    <w:p>
      <w:pPr>
        <w:spacing w:after="120"/>
      </w:pPr>
      <w:r>
        <w:t xml:space="preserve">We act for Ashbourne Healthcare Group Limited. We write further to your letter of 30 January 2025 intimating claims on behalf of your client, Dr Rebecca Whitmore, and to the schedule of loss enclosed with it.</w:t>
      </w:r>
    </w:p>
    <w:p>
      <w:pPr>
        <w:spacing w:after="120"/>
      </w:pPr>
      <w:r>
        <w:t xml:space="preserve">Our client does not accept that Dr Whitmore was dismissed for making protected disclosures, nor that her selection for redundancy was unfair. The restructuring of the East Region was a genuine operational decision taken for sound business reasons, and Dr Whitmore’s role was consulted upon properly. Our client is confident of its position were this matter to proceed to the Employment Tribunal.</w:t>
      </w:r>
    </w:p>
    <w:p>
      <w:pPr>
        <w:spacing w:after="120"/>
      </w:pPr>
      <w:r>
        <w:t xml:space="preserve">Nevertheless, our client is mindful of the cost, management time and uncertainty inherent in litigation, and wishes to explore whether this matter can be resolved on commercial terms without any admission of liability. On that strictly without-prejudice basis, and in full and final settlement of all claims your client may have arising out of or in connection with her employment and its termination, our client is prepared to offer the sum of £120,000, together with a contribution of £2,500 plus VAT towards your client’s legal fees in connection with entering into a settlement agreement.</w:t>
      </w:r>
    </w:p>
    <w:p>
      <w:pPr>
        <w:spacing w:after="120"/>
      </w:pPr>
      <w:r>
        <w:t xml:space="preserve">This offer is made on the basis that settlement would be documented in a settlement agreement in a form satisfactory to our client, containing (among other things) a full and final waiver of claims, mutual confidentiality obligations, non-derogatory undertakings, reaffirmation of continuing confidentiality and post-termination restrictions, and an agreed form of reference. The offer is open for acceptance for 21 days from the date of this letter, after which it is automatically withdrawn.</w:t>
      </w:r>
    </w:p>
    <w:p>
      <w:pPr>
        <w:spacing w:after="120"/>
      </w:pPr>
      <w:r>
        <w:t xml:space="preserve">We note that the schedule of loss assumes a lengthy period of future loss with limited mitigation. Our client reserves its position fully on all heads of loss, and in particular on the duty to mitigate. Should agreement not be reached, this letter will be referred to on the question of costs.</w:t>
      </w:r>
    </w:p>
    <w:p>
      <w:pPr>
        <w:spacing w:after="120"/>
      </w:pPr>
      <w:r>
        <w:t xml:space="preserve">We look forward to hearing from you.</w:t>
      </w:r>
    </w:p>
    <w:p>
      <w:pPr>
        <w:spacing w:after="80"/>
      </w:pPr>
      <w:r>
        <w:t xml:space="preserve"/>
      </w:r>
    </w:p>
    <w:p>
      <w:pPr>
        <w:spacing w:after="120"/>
      </w:pPr>
      <w:r>
        <w:t xml:space="preserve">Yours sincerely,</w:t>
      </w:r>
    </w:p>
    <w:p>
      <w:pPr>
        <w:spacing w:after="80"/>
      </w:pPr>
      <w:r>
        <w:t xml:space="preserve"/>
      </w:r>
    </w:p>
    <w:p>
      <w:pPr>
        <w:spacing w:after="80"/>
      </w:pPr>
      <w:r>
        <w:t xml:space="preserve"/>
      </w:r>
    </w:p>
    <w:p>
      <w:pPr>
        <w:spacing w:after="120"/>
      </w:pPr>
      <w:r>
        <w:rPr>
          <w:b/>
          <w:bCs/>
        </w:rPr>
        <w:t xml:space="preserve">Elena Marchetti</w:t>
      </w:r>
    </w:p>
    <w:p>
      <w:pPr>
        <w:spacing w:after="120"/>
      </w:pPr>
      <w:r>
        <w:t xml:space="preserve">Associate</w:t>
      </w:r>
    </w:p>
    <w:p>
      <w:pPr>
        <w:spacing w:after="120"/>
      </w:pPr>
      <w:r>
        <w:t xml:space="preserve">For and on behalf of 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60"/>
      <w:jc w:val="center"/>
    </w:pPr>
    <w:r>
      <w:rPr>
        <w:color w:val="666666"/>
        <w:sz w:val="14"/>
        <w:szCs w:val="14"/>
      </w:rPr>
      <w:t xml:space="preserve">Whitfield Carter LLP is a limited liability partnership registered in England &amp; Wales (OC418872). Regulated by the SRA.</w:t>
    </w:r>
  </w:p>
  <w:p>
    <w:pPr>
      <w:jc w:val="center"/>
    </w:pPr>
    <w:r>
      <w:rPr>
        <w:color w:val="666666"/>
        <w:sz w:val="14"/>
        <w:szCs w:val="14"/>
      </w:rPr>
      <w:t xml:space="preserve">Page </w:t>
    </w:r>
    <w:r>
      <w:rPr>
        <w:color w:val="666666"/>
        <w:sz w:val="14"/>
        <w:szCs w:val="14"/>
      </w:rPr>
      <w:fldChar w:fldCharType="begin"/>
      <w:instrText xml:space="preserve">PAGE</w:instrText>
      <w:fldChar w:fldCharType="separate"/>
      <w:fldChar w:fldCharType="end"/>
    </w:r>
    <w:r>
      <w:rPr>
        <w:color w:val="666666"/>
        <w:sz w:val="14"/>
        <w:szCs w:val="14"/>
      </w:rPr>
      <w:t xml:space="preserve"> of </w:t>
    </w:r>
    <w:r>
      <w:rPr>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6"/>
        <w:szCs w:val="26"/>
      </w:rPr>
      <w:t xml:space="preserve">Whitfield Carter LLP</w:t>
    </w:r>
  </w:p>
  <w:p>
    <w:pPr>
      <w:spacing w:after="0"/>
      <w:jc w:val="right"/>
    </w:pPr>
    <w:r>
      <w:rPr>
        <w:sz w:val="16"/>
        <w:szCs w:val="16"/>
      </w:rPr>
      <w:t xml:space="preserve">22 Bishopsgate, London EC2N 4BQ</w:t>
    </w:r>
  </w:p>
  <w:p>
    <w:pPr>
      <w:pBdr>
        <w:bottom w:val="single" w:color="1F3864" w:sz="6" w:space="6"/>
      </w:pBdr>
      <w:spacing w:after="120"/>
      <w:jc w:val="right"/>
    </w:pPr>
    <w:r>
      <w:rPr>
        <w:sz w:val="16"/>
        <w:szCs w:val="16"/>
      </w:rPr>
      <w:t xml:space="preserve">T +44 (0)20 7946 0500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620"/>
      </w:pPr>
    </w:lvl>
    <w:lvl w:ilvl="1" w15:tentative="1">
      <w:start w:val="1"/>
      <w:numFmt w:val="decimal"/>
      <w:lvlText w:val="%1.%2"/>
      <w:lvlJc w:val="left"/>
      <w:pPr>
        <w:ind w:left="1200" w:hanging="620"/>
      </w:pPr>
    </w:lvl>
    <w:lvl w:ilvl="2" w15:tentative="1">
      <w:start w:val="1"/>
      <w:numFmt w:val="lowerLetter"/>
      <w:lvlText w:val="(%3)"/>
      <w:lvlJc w:val="left"/>
      <w:pPr>
        <w:ind w:left="1740" w:hanging="540"/>
      </w:pPr>
    </w:lvl>
  </w:abstractNum>
  <w:abstractNum w:abstractNumId="3"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2026-07-01T03:05:17.730Z</dcterms:created>
  <dcterms:modified xsi:type="dcterms:W3CDTF">2026-07-01T03:05:17.730Z</dcterms:modified>
</cp:coreProperties>
</file>

<file path=docProps/custom.xml><?xml version="1.0" encoding="utf-8"?>
<Properties xmlns="http://schemas.openxmlformats.org/officeDocument/2006/custom-properties" xmlns:vt="http://schemas.openxmlformats.org/officeDocument/2006/docPropsVTypes"/>
</file>