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</w:rPr>
        <w:t xml:space="preserve">ASHFIELD DYNAMICS LIMITED v MARWICK DRIVES LIMITED</w:t>
      </w:r>
    </w:p>
    <w:p>
      <w:pPr>
        <w:spacing w:after="0"/>
        <w:jc w:val="center"/>
      </w:pPr>
      <w:r>
        <w:t xml:space="preserve">Claim No. BL-2025-000412</w:t>
      </w:r>
    </w:p>
    <w:p>
      <w:pPr>
        <w:spacing w:after="160"/>
        <w:jc w:val="center"/>
      </w:pPr>
      <w:r>
        <w:rPr>
          <w:b/>
          <w:bCs/>
        </w:rPr>
        <w:t xml:space="preserve">CHRONOLOGY</w:t>
      </w:r>
    </w:p>
    <w:p>
      <w:pPr>
        <w:spacing w:after="120"/>
      </w:pPr>
      <w:r>
        <w:rPr>
          <w:i/>
          <w:iCs/>
          <w:sz w:val="16"/>
          <w:szCs w:val="16"/>
        </w:rPr>
        <w:t xml:space="preserve">Prepared by Whitfield Carter LLP. This chronology is for case-management purposes and is not agreed.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 Mar 2024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Claimant issues purchase order PO-AD-4471 for 60 MD-450 units at £3,150 each (£189,000).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18 Mar 2024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Defendant acknowledges order; Contract formed.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24 Apr – 11 Jun 2024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Units delivered.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Jun – Aug 2024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Units installed into the Linevue conveyor line.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 Sep 2024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Linevue line commissioned and handed over to Halcyon Retail Group.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17 Sep 2024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First Unit failure.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Sep 2024 – Jan 2025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Progressive failures; 41 of 60 Units fail within Warranty period.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 Nov 2024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Claimant instructs Renshaw Drive Engineering Consultants to investigate.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 Dec 2024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Renshaw preliminary findings: undersized output bearing; incorrect case-hardening of bevel pinion.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 Jan 2025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Claimant pays Halcyon Retail Group £95,000 liquidated damages for line downtime.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 Jan 2025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Whitfield Carter LLP engaged.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28 Jan 2025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Letter before action sent to Defendant.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18 Feb 2025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Pemberton Rowe LLP respond on behalf of Defendant, denying liability.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 Apr 2025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Claim Form and Particulars of Claim issued (Claim No. BL-2025-000412).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 May 2025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Defence served.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26 Jun 2025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Exchange of witness statements (Voss for Claimant).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 Sep 2025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Exchange of expert reports.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 Nov 2025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Mediation.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21 Nov 2025</w:t>
            </w:r>
          </w:p>
        </w:tc>
        <w:tc>
          <w:tcPr>
            <w:tcW w:type="dxa" w:w="7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Settlement; Tomlin order agreed (£295,000).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</w:pPr>
    <w:r>
      <w:rPr>
        <w:color w:val="808080"/>
        <w:sz w:val="14"/>
        <w:szCs w:val="14"/>
      </w:rPr>
      <w:t xml:space="preserve">Confidential and may be legally privileged.</w:t>
    </w:r>
  </w:p>
  <w:p>
    <w:pPr>
      <w:jc w:val="right"/>
    </w:pPr>
    <w:r>
      <w:rPr>
        <w:color w:val="808080"/>
        <w:sz w:val="14"/>
        <w:szCs w:val="14"/>
      </w:rPr>
      <w:t xml:space="preserve">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4"/>
        <w:szCs w:val="14"/>
      </w:rPr>
      <w:t xml:space="preserve"> of </w:t>
    </w:r>
    <w:r>
      <w:rPr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  <w:lvl w:ilvl="1" w15:tentative="1">
      <w:start w:val="1"/>
      <w:numFmt w:val="decimal"/>
      <w:lvlText w:val="%1.%2"/>
      <w:lvlJc w:val="left"/>
      <w:pPr>
        <w:ind w:left="1100" w:hanging="600"/>
      </w:pPr>
    </w:lvl>
    <w:lvl w:ilvl="2" w15:tentative="1">
      <w:start w:val="1"/>
      <w:numFmt w:val="lowerLetter"/>
      <w:lvlText w:val="(%3)"/>
      <w:lvlJc w:val="left"/>
      <w:pPr>
        <w:ind w:left="1600" w:hanging="5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480"/>
      </w:pPr>
    </w:lvl>
    <w:lvl w:ilvl="1" w15:tentative="1">
      <w:start w:val="1"/>
      <w:numFmt w:val="lowerLetter"/>
      <w:lvlText w:val="(%2)"/>
      <w:lvlJc w:val="left"/>
      <w:pPr>
        <w:ind w:left="1200" w:hanging="4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Chronology</dc:title>
  <dc:creator>Whitfield Carter LLP</dc:creator>
  <cp:lastModifiedBy>Un-named</cp:lastModifiedBy>
  <cp:revision>1</cp:revision>
  <dcterms:created xsi:type="dcterms:W3CDTF">2026-06-30T09:02:37.082Z</dcterms:created>
  <dcterms:modified xsi:type="dcterms:W3CDTF">2026-06-30T09:02:37.082Z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