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rPr>
        <w:t xml:space="preserve">IN THE HIGH COURT OF JUSTICE</w:t>
      </w:r>
    </w:p>
    <w:p>
      <w:pPr>
        <w:spacing w:after="0"/>
        <w:jc w:val="center"/>
      </w:pPr>
      <w:r>
        <w:t xml:space="preserve">BUSINESS AND PROPERTY COURTS OF ENGLAND AND WALES</w:t>
      </w:r>
    </w:p>
    <w:p>
      <w:pPr>
        <w:spacing w:after="0"/>
        <w:jc w:val="center"/>
      </w:pPr>
      <w:r>
        <w:t xml:space="preserve">TECHNOLOGY AND CONSTRUCTION COURT (KBD)</w:t>
      </w:r>
    </w:p>
    <w:p>
      <w:pPr>
        <w:spacing w:after="120"/>
        <w:jc w:val="right"/>
      </w:pPr>
      <w:r>
        <w:t xml:space="preserve">Claim No. </w:t>
      </w:r>
      <w:r>
        <w:rPr>
          <w:b/>
          <w:bCs/>
        </w:rPr>
        <w:t xml:space="preserve">BL-2025-000412</w:t>
      </w:r>
    </w:p>
    <w:p>
      <w:pPr>
        <w:spacing w:after="80"/>
      </w:pPr>
      <w:r>
        <w:t xml:space="preserve">B E T W E E N :</w:t>
      </w:r>
    </w:p>
    <w:p>
      <w:pPr>
        <w:spacing w:after="0"/>
        <w:jc w:val="center"/>
      </w:pPr>
      <w:r>
        <w:rPr>
          <w:b/>
          <w:bCs/>
        </w:rPr>
        <w:t xml:space="preserve">ASHFIELD DYNAMICS LIMITED</w:t>
      </w:r>
    </w:p>
    <w:p>
      <w:pPr>
        <w:spacing w:after="0"/>
        <w:jc w:val="right"/>
      </w:pPr>
      <w:r>
        <w:t xml:space="preserve">Claimant</w:t>
      </w:r>
    </w:p>
    <w:p>
      <w:pPr>
        <w:spacing w:after="0"/>
        <w:jc w:val="center"/>
      </w:pPr>
      <w:r>
        <w:t xml:space="preserve">- and -</w:t>
      </w:r>
    </w:p>
    <w:p>
      <w:pPr>
        <w:spacing w:after="0"/>
        <w:jc w:val="center"/>
      </w:pPr>
      <w:r>
        <w:rPr>
          <w:b/>
          <w:bCs/>
        </w:rPr>
        <w:t xml:space="preserve">MARWICK DRIVES LIMITED</w:t>
      </w:r>
    </w:p>
    <w:p>
      <w:pPr>
        <w:spacing w:after="120"/>
        <w:jc w:val="right"/>
      </w:pPr>
      <w:r>
        <w:t xml:space="preserve">Defendant</w:t>
      </w:r>
    </w:p>
    <w:p>
      <w:pPr>
        <w:pBdr>
          <w:top w:val="single" w:color="000000" w:sz="6"/>
          <w:bottom w:val="single" w:color="000000" w:sz="6"/>
        </w:pBdr>
        <w:spacing w:after="160" w:before="60"/>
        <w:jc w:val="center"/>
      </w:pPr>
      <w:r>
        <w:rPr>
          <w:b/>
          <w:bCs/>
        </w:rPr>
        <w:t xml:space="preserve">DEFENCE</w:t>
      </w:r>
    </w:p>
    <w:p>
      <w:pPr>
        <w:pStyle w:val="ListParagraph"/>
        <w:numPr>
          <w:ilvl w:val="0"/>
          <w:numId w:val="2"/>
        </w:numPr>
        <w:spacing w:after="120"/>
      </w:pPr>
      <w:r>
        <w:t xml:space="preserve">Save where expressly admitted, the Defendant denies each and every allegation in the Particulars of Claim as if the same were set out and traversed seriatim.</w:t>
      </w:r>
    </w:p>
    <w:p>
      <w:pPr>
        <w:pStyle w:val="ListParagraph"/>
        <w:numPr>
          <w:ilvl w:val="0"/>
          <w:numId w:val="2"/>
        </w:numPr>
        <w:spacing w:after="120"/>
      </w:pPr>
      <w:r>
        <w:t xml:space="preserve">Paragraphs 1 and 2 of the Particulars of Claim are admitted. The Defendant admits the existence and terms of the Contract as pleaded, save that the Defendant avers that the Contract was subject in its entirety to the Defendant’s standard conditions of sale, clause 11 of which limited the Defendant’s liability as set out at paragraph 9 below.</w:t>
      </w:r>
    </w:p>
    <w:p>
      <w:pPr>
        <w:pStyle w:val="ListParagraph"/>
        <w:numPr>
          <w:ilvl w:val="0"/>
          <w:numId w:val="2"/>
        </w:numPr>
        <w:spacing w:after="120"/>
      </w:pPr>
      <w:r>
        <w:t xml:space="preserve">As to paragraph 3, it is admitted that the Warranty was a term of the Contract. It is denied that the Warranty extended to defects arising from the manner of installation, application or operation of the Units by the Claimant.</w:t>
      </w:r>
    </w:p>
    <w:p>
      <w:pPr>
        <w:pStyle w:val="ListParagraph"/>
        <w:numPr>
          <w:ilvl w:val="0"/>
          <w:numId w:val="2"/>
        </w:numPr>
        <w:spacing w:after="120"/>
      </w:pPr>
      <w:r>
        <w:t xml:space="preserve">As to paragraph 4, no admissions are made as to the implied terms, the existence and effect of which are matters of law. If and to the extent that such terms were implied, they were modified and limited by the Defendant’s standard conditions of sale.</w:t>
      </w:r>
    </w:p>
    <w:p>
      <w:pPr>
        <w:pStyle w:val="ListParagraph"/>
        <w:numPr>
          <w:ilvl w:val="0"/>
          <w:numId w:val="2"/>
        </w:numPr>
        <w:spacing w:after="120"/>
      </w:pPr>
      <w:r>
        <w:t xml:space="preserve">Paragraph 5 is denied. The Defendant avers that it was informed only that the Units were required for “conveyor duty” and was not told of the specific duty cycle, throughput requirements or the identity of the end-customer. The Claimant did not rely, alternatively did not reasonably rely, on the Defendant’s skill and judgement; the Claimant is itself an experienced designer of conveyor systems and specified the Units by reference to its own load calculations.</w:t>
      </w:r>
    </w:p>
    <w:p>
      <w:pPr>
        <w:pStyle w:val="ListParagraph"/>
        <w:numPr>
          <w:ilvl w:val="0"/>
          <w:numId w:val="2"/>
        </w:numPr>
        <w:spacing w:after="120"/>
      </w:pPr>
      <w:r>
        <w:t xml:space="preserve">Paragraph 6 is admitted as to delivery dates. The Defendant has no knowledge of, and does not admit, the dates of installation, commissioning or handover.</w:t>
      </w:r>
    </w:p>
    <w:p>
      <w:pPr>
        <w:pStyle w:val="ListParagraph"/>
        <w:numPr>
          <w:ilvl w:val="0"/>
          <w:numId w:val="2"/>
        </w:numPr>
        <w:spacing w:after="120"/>
      </w:pPr>
      <w:r>
        <w:t xml:space="preserve">As to paragraphs 7 and 8, it is admitted that a number of Units have been returned to the Defendant as having failed. The Defendant does not admit that 41 Units failed within the Warranty period and puts the Claimant to strict proof. It is denied that the failures were caused by any defect in the Units. The Defendant avers that the failures, in so far as they occurred, were caused or contributed to by:</w:t>
      </w:r>
    </w:p>
    <w:p>
      <w:pPr>
        <w:pStyle w:val="ListParagraph"/>
        <w:numPr>
          <w:ilvl w:val="1"/>
          <w:numId w:val="2"/>
        </w:numPr>
        <w:spacing w:after="120"/>
      </w:pPr>
      <w:r>
        <w:t xml:space="preserve">misalignment of the Units on installation by the Claimant, in excess of the tolerances stated in the Defendant’s installation manual;</w:t>
      </w:r>
    </w:p>
    <w:p>
      <w:pPr>
        <w:pStyle w:val="ListParagraph"/>
        <w:numPr>
          <w:ilvl w:val="1"/>
          <w:numId w:val="2"/>
        </w:numPr>
        <w:spacing w:after="120"/>
      </w:pPr>
      <w:r>
        <w:t xml:space="preserve">operation of the Units at loads and duty cycles in excess of their rated capacity; and</w:t>
      </w:r>
    </w:p>
    <w:p>
      <w:pPr>
        <w:pStyle w:val="ListParagraph"/>
        <w:numPr>
          <w:ilvl w:val="1"/>
          <w:numId w:val="2"/>
        </w:numPr>
        <w:spacing w:after="120"/>
      </w:pPr>
      <w:r>
        <w:t xml:space="preserve">the Claimant’s failure to carry out the lubrication and maintenance regime specified by the Defendant.</w:t>
      </w:r>
    </w:p>
    <w:p>
      <w:pPr>
        <w:pStyle w:val="ListParagraph"/>
        <w:numPr>
          <w:ilvl w:val="0"/>
          <w:numId w:val="2"/>
        </w:numPr>
        <w:spacing w:after="120"/>
      </w:pPr>
      <w:r>
        <w:t xml:space="preserve">Paragraph 9 is denied. The Units were free from defects in materials and workmanship, corresponded with their description, were of satisfactory quality and were fit for the purpose for which they were supplied. The Defendant denies that it was in breach of contract as alleged or at all.</w:t>
      </w:r>
    </w:p>
    <w:p>
      <w:pPr>
        <w:pStyle w:val="ListParagraph"/>
        <w:numPr>
          <w:ilvl w:val="0"/>
          <w:numId w:val="2"/>
        </w:numPr>
        <w:spacing w:after="120"/>
      </w:pPr>
      <w:r>
        <w:t xml:space="preserve">Further or alternatively, and without prejudice to the foregoing denials, the Defendant’s liability (if any) is limited by clause 11 of its standard conditions of sale to the price paid for the defective Units, namely £3,150 per Unit, and excludes liability for indirect or consequential loss, including loss of profit and the liquidated damages claimed at paragraph 11(d) of the Particulars of Claim.</w:t>
      </w:r>
    </w:p>
    <w:p>
      <w:pPr>
        <w:pStyle w:val="ListParagraph"/>
        <w:numPr>
          <w:ilvl w:val="0"/>
          <w:numId w:val="2"/>
        </w:numPr>
        <w:spacing w:after="120"/>
      </w:pPr>
      <w:r>
        <w:t xml:space="preserve">As to loss, the Defendant does not admit the losses claimed and puts the Claimant to strict proof of each item. In particular:</w:t>
      </w:r>
    </w:p>
    <w:p>
      <w:pPr>
        <w:pStyle w:val="ListParagraph"/>
        <w:numPr>
          <w:ilvl w:val="1"/>
          <w:numId w:val="2"/>
        </w:numPr>
        <w:spacing w:after="120"/>
      </w:pPr>
      <w:r>
        <w:t xml:space="preserve">the cost of replacement units is excessive and reflects a betterment, the Renforth units being of a higher specification than the Units supplied;</w:t>
      </w:r>
    </w:p>
    <w:p>
      <w:pPr>
        <w:pStyle w:val="ListParagraph"/>
        <w:numPr>
          <w:ilvl w:val="1"/>
          <w:numId w:val="2"/>
        </w:numPr>
        <w:spacing w:after="120"/>
      </w:pPr>
      <w:r>
        <w:t xml:space="preserve">the liquidated damages of £95,000 are too remote and are in any event excluded by clause 11; and</w:t>
      </w:r>
    </w:p>
    <w:p>
      <w:pPr>
        <w:pStyle w:val="ListParagraph"/>
        <w:numPr>
          <w:ilvl w:val="1"/>
          <w:numId w:val="2"/>
        </w:numPr>
        <w:spacing w:after="120"/>
      </w:pPr>
      <w:r>
        <w:t xml:space="preserve">the Claimant failed to mitigate its loss.</w:t>
      </w:r>
    </w:p>
    <w:p>
      <w:pPr>
        <w:pStyle w:val="ListParagraph"/>
        <w:numPr>
          <w:ilvl w:val="0"/>
          <w:numId w:val="2"/>
        </w:numPr>
        <w:spacing w:after="120"/>
      </w:pPr>
      <w:r>
        <w:t xml:space="preserve">Save as expressly admitted, the Defendant denies that the Claimant is entitled to the relief claimed or to any relief.</w:t>
      </w:r>
    </w:p>
    <w:p>
      <w:pPr>
        <w:spacing w:after="120" w:before="240"/>
      </w:pPr>
      <w:r>
        <w:rPr>
          <w:b/>
          <w:bCs/>
        </w:rPr>
        <w:t xml:space="preserve">ALISTAIR WHITLOCK</w:t>
      </w:r>
    </w:p>
    <w:p>
      <w:pPr>
        <w:spacing w:after="200"/>
      </w:pPr>
      <w:r>
        <w:t xml:space="preserve">Pemberton Rowe LLP</w:t>
      </w:r>
    </w:p>
    <w:p>
      <w:pPr>
        <w:spacing w:after="120"/>
      </w:pPr>
      <w:r>
        <w:rPr>
          <w:b/>
          <w:bCs/>
        </w:rPr>
        <w:t xml:space="preserve">Statement of Truth</w:t>
      </w:r>
    </w:p>
    <w:p>
      <w:pPr>
        <w:spacing w:after="120"/>
      </w:pPr>
      <w:r>
        <w:t xml:space="preserve">The Defendant believes that the facts stated in this Defence are true. I am duly authorised by the Defendant to sign this statement.</w:t>
      </w:r>
    </w:p>
    <w:p>
      <w:pPr>
        <w:spacing w:after="0"/>
      </w:pPr>
      <w:r>
        <w:t xml:space="preserve">Signed: ............................................   Dated: 19 May 2025</w:t>
      </w:r>
    </w:p>
    <w:p>
      <w:pPr>
        <w:spacing w:after="120"/>
      </w:pPr>
      <w:r>
        <w:t xml:space="preserve">Gordon Marwick, Managing Director, for and on behalf of Marwick Drives Limited</w:t>
      </w:r>
    </w:p>
    <w:p>
      <w:pPr>
        <w:spacing w:after="120"/>
      </w:pPr>
      <w:r>
        <w:rPr>
          <w:i/>
          <w:iCs/>
          <w:sz w:val="16"/>
          <w:szCs w:val="16"/>
        </w:rPr>
        <w:t xml:space="preserve">Pemberton Rowe LLP – Solicitors for the Defendant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pPr>
    <w:r>
      <w:rPr>
        <w:color w:val="808080"/>
        <w:sz w:val="14"/>
        <w:szCs w:val="14"/>
      </w:rPr>
      <w:t xml:space="preserve">Confidential and may be legally privileged.</w:t>
    </w:r>
  </w:p>
  <w:p>
    <w:pPr>
      <w:jc w:val="right"/>
    </w:pPr>
    <w:r>
      <w:rPr>
        <w:color w:val="808080"/>
        <w:sz w:val="14"/>
        <w:szCs w:val="14"/>
      </w:rPr>
      <w:t xml:space="preserve">Page </w:t>
    </w:r>
    <w:r>
      <w:rPr>
        <w:color w:val="808080"/>
        <w:sz w:val="14"/>
        <w:szCs w:val="14"/>
      </w:rPr>
      <w:fldChar w:fldCharType="begin"/>
      <w:instrText xml:space="preserve">PAGE</w:instrText>
      <w:fldChar w:fldCharType="separate"/>
      <w:fldChar w:fldCharType="end"/>
    </w:r>
    <w:r>
      <w:rPr>
        <w:color w:val="808080"/>
        <w:sz w:val="14"/>
        <w:szCs w:val="14"/>
      </w:rPr>
      <w:t xml:space="preserve"> of </w:t>
    </w:r>
    <w:r>
      <w:rPr>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480"/>
      </w:pPr>
    </w:lvl>
    <w:lvl w:ilvl="1" w15:tentative="1">
      <w:start w:val="1"/>
      <w:numFmt w:val="decimal"/>
      <w:lvlText w:val="%1.%2"/>
      <w:lvlJc w:val="left"/>
      <w:pPr>
        <w:ind w:left="1100" w:hanging="600"/>
      </w:pPr>
    </w:lvl>
    <w:lvl w:ilvl="2" w15:tentative="1">
      <w:start w:val="1"/>
      <w:numFmt w:val="lowerLetter"/>
      <w:lvlText w:val="(%3)"/>
      <w:lvlJc w:val="left"/>
      <w:pPr>
        <w:ind w:left="1600" w:hanging="500"/>
      </w:pPr>
    </w:lvl>
  </w:abstractNum>
  <w:abstractNum w:abstractNumId="3" w15:restartNumberingAfterBreak="0">
    <w:multiLevelType w:val="hybridMultilevel"/>
    <w:lvl w:ilvl="0" w15:tentative="1">
      <w:start w:val="1"/>
      <w:numFmt w:val="decimal"/>
      <w:lvlText w:val="%1."/>
      <w:lvlJc w:val="left"/>
      <w:pPr>
        <w:ind w:left="680" w:hanging="480"/>
      </w:pPr>
    </w:lvl>
    <w:lvl w:ilvl="1" w15:tentative="1">
      <w:start w:val="1"/>
      <w:numFmt w:val="lowerLetter"/>
      <w:lvlText w:val="(%2)"/>
      <w:lvlJc w:val="left"/>
      <w:pPr>
        <w:ind w:left="1200" w:hanging="4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Defence</dc:title>
  <dc:creator>Whitfield Carter LLP</dc:creator>
  <cp:lastModifiedBy>Un-named</cp:lastModifiedBy>
  <cp:revision>1</cp:revision>
  <dcterms:created xsi:type="dcterms:W3CDTF">2026-06-30T09:02:37.055Z</dcterms:created>
  <dcterms:modified xsi:type="dcterms:W3CDTF">2026-06-30T09:02:37.055Z</dcterms:modified>
</cp:coreProperties>
</file>

<file path=docProps/custom.xml><?xml version="1.0" encoding="utf-8"?>
<Properties xmlns="http://schemas.openxmlformats.org/officeDocument/2006/custom-properties" xmlns:vt="http://schemas.openxmlformats.org/officeDocument/2006/docPropsVTypes"/>
</file>