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18"/>
          <w:szCs w:val="18"/>
        </w:rPr>
        <w:t xml:space="preserve">Strictly private and confidential</w:t>
      </w:r>
    </w:p>
    <w:p>
      <w:pPr>
        <w:spacing w:after="0"/>
      </w:pPr>
      <w:r>
        <w:t xml:space="preserve">Mr David Ashby</w:t>
      </w:r>
    </w:p>
    <w:p>
      <w:pPr>
        <w:spacing w:after="0"/>
      </w:pPr>
      <w:r>
        <w:t xml:space="preserve">Managing Director</w:t>
      </w:r>
    </w:p>
    <w:p>
      <w:pPr>
        <w:spacing w:after="0"/>
      </w:pPr>
      <w:r>
        <w:t xml:space="preserve">Ashfield Dynamics Limited</w:t>
      </w:r>
    </w:p>
    <w:p>
      <w:pPr>
        <w:spacing w:after="240"/>
      </w:pPr>
      <w:r>
        <w:t xml:space="preserve">Wheler Road, Coventry CV3 4LB</w:t>
      </w:r>
    </w:p>
    <w:p>
      <w:pPr>
        <w:spacing w:after="0"/>
      </w:pPr>
      <w:r>
        <w:rPr>
          <w:b/>
          <w:bCs/>
        </w:rPr>
        <w:t xml:space="preserve">Our ref: </w:t>
      </w:r>
      <w:r>
        <w:t xml:space="preserve">SW/TG/AD-0191</w:t>
      </w:r>
    </w:p>
    <w:p>
      <w:pPr>
        <w:spacing w:after="240"/>
      </w:pPr>
      <w:r>
        <w:rPr>
          <w:b/>
          <w:bCs/>
        </w:rPr>
        <w:t xml:space="preserve">Date: </w:t>
      </w:r>
      <w:r>
        <w:t xml:space="preserve">21 January 2025</w:t>
      </w:r>
    </w:p>
    <w:p>
      <w:pPr>
        <w:spacing w:after="120"/>
      </w:pPr>
      <w:r>
        <w:t xml:space="preserve">Dear David</w:t>
      </w:r>
    </w:p>
    <w:p>
      <w:pPr>
        <w:spacing w:after="120"/>
      </w:pPr>
      <w:r>
        <w:rPr>
          <w:b/>
          <w:bCs/>
        </w:rPr>
        <w:t xml:space="preserve">Engagement – dispute with Marwick Drives Limited concerning defective MD-450 gearmotor units</w:t>
      </w:r>
    </w:p>
    <w:p>
      <w:pPr>
        <w:spacing w:after="120"/>
      </w:pPr>
      <w:r>
        <w:t xml:space="preserve">Thank you for instructing Whitfield Carter LLP in connection with the supply by Marwick Drives Limited (“Marwick”) of 60 MD-450 helical-bevel gearmotor units under your purchase order PO-AD-4471 dated 14 March 2024, and the premature failures that have since occurred. This letter sets out the basis on which we will act for you.</w:t>
      </w:r>
    </w:p>
    <w:p>
      <w:pPr>
        <w:pStyle w:val="Heading2"/>
      </w:pPr>
      <w:r>
        <w:t xml:space="preserve">1.  Scope of work</w:t>
      </w:r>
    </w:p>
    <w:p>
      <w:pPr>
        <w:spacing w:after="120"/>
      </w:pPr>
      <w:r>
        <w:t xml:space="preserve">Our initial instructions are to advise on Ashfield Dynamics Limited’s contractual and statutory remedies against Marwick, to prepare and serve a letter before action in accordance with the Pre-Action Protocol for the Construction and Engineering Disputes (as adapted), and thereafter, if the matter is not resolved, to issue and conduct proceedings in the Business and Property Courts. The scope will be reviewed at each stage and we will not incur significant additional cost without your authority.</w:t>
      </w:r>
    </w:p>
    <w:p>
      <w:pPr>
        <w:pStyle w:val="Heading2"/>
      </w:pPr>
      <w:r>
        <w:t xml:space="preserve">2.  Our team</w:t>
      </w:r>
    </w:p>
    <w:p>
      <w:pPr>
        <w:spacing w:after="120"/>
      </w:pPr>
      <w:r>
        <w:t xml:space="preserve">The matter will be led by Sarah Whitfield (Partner), with day-to-day conduct by Tom Gallagher (Senior Associate) and support from Elena Marchetti (Associate). Where the dispute requires the opinion of counsel we anticipate instructing Harriet Stanford of Eldon Chambers.</w:t>
      </w:r>
    </w:p>
    <w:p>
      <w:pPr>
        <w:pStyle w:val="Heading2"/>
      </w:pPr>
      <w:r>
        <w:t xml:space="preserve">3.  Fees and disbursements</w:t>
      </w:r>
    </w:p>
    <w:p>
      <w:pPr>
        <w:spacing w:after="120"/>
      </w:pPr>
      <w:r>
        <w:t xml:space="preserve">Our charges are based on the time spent. The current hourly rates (exclusive of VAT) for those working on your matter are: Sarah Whitfield – £595; Tom Gallagher – £395; Elena Marchetti – £275. Disbursements (including counsel’s fees, court fees, and any expert’s fees) will be charged in addition. We estimate our fees to the conclusion of the pre-action stage at between £18,000 and £24,000 plus VAT and disbursements; we will provide a further estimate before proceedings are issued.</w:t>
      </w:r>
    </w:p>
    <w:p>
      <w:pPr>
        <w:pStyle w:val="Heading2"/>
      </w:pPr>
      <w:r>
        <w:t xml:space="preserve">4.  Billing</w:t>
      </w:r>
    </w:p>
    <w:p>
      <w:pPr>
        <w:spacing w:after="120"/>
      </w:pPr>
      <w:r>
        <w:t xml:space="preserve">We will render bills monthly. Our bills are payable within 14 days of delivery. We have asked Accounts to raise a request for monies on account of £5,000, which will be held in our client account and applied against future bills and disbursements.</w:t>
      </w:r>
    </w:p>
    <w:p>
      <w:pPr>
        <w:pStyle w:val="Heading2"/>
      </w:pPr>
      <w:r>
        <w:t xml:space="preserve">5.  Limitation</w:t>
      </w:r>
    </w:p>
    <w:p>
      <w:pPr>
        <w:spacing w:after="120"/>
      </w:pPr>
      <w:r>
        <w:t xml:space="preserve">You should be aware that legal proceedings must generally be commenced within six years of the date on which the cause of action accrued. On the information presently available the relevant date is unlikely to give rise to a limitation difficulty, but we will keep the position under review.</w:t>
      </w:r>
    </w:p>
    <w:p>
      <w:pPr>
        <w:pStyle w:val="Heading2"/>
      </w:pPr>
      <w:r>
        <w:t xml:space="preserve">6.  Terms of business</w:t>
      </w:r>
    </w:p>
    <w:p>
      <w:pPr>
        <w:spacing w:after="120"/>
      </w:pPr>
      <w:r>
        <w:t xml:space="preserve">Our standard terms of business accompany this letter and form part of our agreement with you. Please sign and return the enclosed copy of this letter to confirm your instructions. We are regulated by the Solicitors Regulation Authority.</w:t>
      </w:r>
    </w:p>
    <w:p>
      <w:pPr>
        <w:spacing w:after="240"/>
      </w:pPr>
      <w:r>
        <w:t xml:space="preserve">We are grateful for the opportunity to act for Ashfield Dynamics on this matter and look forward to working with you.</w:t>
      </w:r>
    </w:p>
    <w:p>
      <w:pPr>
        <w:spacing w:after="360"/>
      </w:pPr>
      <w:r>
        <w:t xml:space="preserve">Yours sincerely</w:t>
      </w:r>
    </w:p>
    <w:p>
      <w:pPr>
        <w:spacing w:after="0"/>
      </w:pPr>
      <w:r>
        <w:rPr>
          <w:b/>
          <w:bCs/>
        </w:rPr>
        <w:t xml:space="preserve">Sarah Whitfield</w:t>
      </w:r>
    </w:p>
    <w:p>
      <w:pPr>
        <w:spacing w:after="0"/>
      </w:pPr>
      <w:r>
        <w:t xml:space="preserve">Partner</w:t>
      </w:r>
    </w:p>
    <w:p>
      <w:pPr>
        <w:spacing w:after="120"/>
      </w:pPr>
      <w:r>
        <w:t xml:space="preserve">for and on behalf of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Whitfield Carter LLP, 22 Bishopsgate, London EC2N 4BQ  |  T +44 (0)20 7946 0991  |  www.whitfieldcarter.com</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8"/>
        <w:szCs w:val="28"/>
      </w:rPr>
      <w:t xml:space="preserve">Whitfield Carter LLP</w:t>
    </w:r>
  </w:p>
  <w:p>
    <w:pPr>
      <w:jc w:val="right"/>
    </w:pPr>
    <w:r>
      <w:rPr>
        <w:color w:val="595959"/>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80" w:hanging="480"/>
      </w:pPr>
    </w:lvl>
    <w:lvl w:ilvl="1" w15:tentative="1">
      <w:start w:val="1"/>
      <w:numFmt w:val="lowerLetter"/>
      <w:lvlText w:val="(%2)"/>
      <w:lvlJc w:val="left"/>
      <w:pPr>
        <w:ind w:left="1200" w:hanging="4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Letter</dc:title>
  <dc:creator>Whitfield Carter LLP</dc:creator>
  <cp:lastModifiedBy>Un-named</cp:lastModifiedBy>
  <cp:revision>1</cp:revision>
  <dcterms:created xsi:type="dcterms:W3CDTF">2026-06-30T09:02:36.949Z</dcterms:created>
  <dcterms:modified xsi:type="dcterms:W3CDTF">2026-06-30T09:02:36.952Z</dcterms:modified>
</cp:coreProperties>
</file>

<file path=docProps/custom.xml><?xml version="1.0" encoding="utf-8"?>
<Properties xmlns="http://schemas.openxmlformats.org/officeDocument/2006/custom-properties" xmlns:vt="http://schemas.openxmlformats.org/officeDocument/2006/docPropsVTypes"/>
</file>