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18"/>
          <w:szCs w:val="18"/>
        </w:rPr>
        <w:t xml:space="preserve">By email and first-class post</w:t>
      </w:r>
    </w:p>
    <w:p>
      <w:pPr>
        <w:spacing w:after="0"/>
      </w:pPr>
      <w:r>
        <w:t xml:space="preserve">The Directors</w:t>
      </w:r>
    </w:p>
    <w:p>
      <w:pPr>
        <w:spacing w:after="0"/>
      </w:pPr>
      <w:r>
        <w:t xml:space="preserve">Marwick Drives Limited</w:t>
      </w:r>
    </w:p>
    <w:p>
      <w:pPr>
        <w:spacing w:after="240"/>
      </w:pPr>
      <w:r>
        <w:t xml:space="preserve">Unit 12, Tyseley Industrial Estate, Birmingham B11 2BX</w:t>
      </w:r>
    </w:p>
    <w:p>
      <w:pPr>
        <w:spacing w:after="0"/>
      </w:pPr>
      <w:r>
        <w:rPr>
          <w:b/>
          <w:bCs/>
        </w:rPr>
        <w:t xml:space="preserve">Our ref: </w:t>
      </w:r>
      <w:r>
        <w:t xml:space="preserve">SW/TG/AD-0191</w:t>
      </w:r>
    </w:p>
    <w:p>
      <w:pPr>
        <w:spacing w:after="240"/>
      </w:pPr>
      <w:r>
        <w:rPr>
          <w:b/>
          <w:bCs/>
        </w:rPr>
        <w:t xml:space="preserve">Date: </w:t>
      </w:r>
      <w:r>
        <w:t xml:space="preserve">28 January 2025</w:t>
      </w:r>
    </w:p>
    <w:p>
      <w:pPr>
        <w:spacing w:after="120"/>
      </w:pPr>
      <w:r>
        <w:t xml:space="preserve">Dear Sirs</w:t>
      </w:r>
    </w:p>
    <w:p>
      <w:pPr>
        <w:spacing w:after="120"/>
        <w:jc w:val="center"/>
      </w:pPr>
      <w:r>
        <w:rPr>
          <w:b/>
          <w:bCs/>
        </w:rPr>
        <w:t xml:space="preserve">LETTER BEFORE ACTION</w:t>
      </w:r>
    </w:p>
    <w:p>
      <w:pPr>
        <w:spacing w:after="160"/>
        <w:jc w:val="center"/>
      </w:pPr>
      <w:r>
        <w:rPr>
          <w:b/>
          <w:bCs/>
        </w:rPr>
        <w:t xml:space="preserve">Supply of 60 Marwick MD-450 gearmotor units – Purchase Order PO-AD-4471</w:t>
      </w:r>
    </w:p>
    <w:p>
      <w:pPr>
        <w:spacing w:after="120"/>
      </w:pPr>
      <w:r>
        <w:t xml:space="preserve">We act for Ashfield Dynamics Limited (“our client”). This is a letter before action sent in accordance with the Practice Direction on Pre-Action Conduct and the Pre-Action Protocol for Construction and Engineering Disputes. Please read it carefully and respond within the time set out below.</w:t>
      </w:r>
    </w:p>
    <w:p>
      <w:pPr>
        <w:pStyle w:val="Heading2"/>
      </w:pPr>
      <w:r>
        <w:t xml:space="preserve">The contract</w:t>
      </w:r>
    </w:p>
    <w:p>
      <w:pPr>
        <w:spacing w:after="120"/>
      </w:pPr>
      <w:r>
        <w:t xml:space="preserve">By its purchase order PO-AD-4471 dated 14 March 2024, accepted by your order acknowledgement dated 18 March 2024, our client purchased from you 60 MD-450 helical-bevel gearmotor units at £3,150 per unit (a total of £189,000 excluding VAT). The units were supplied for incorporation into a “Linevue” high-throughput conveyor system which our client was building for its end-customer, Halcyon Retail Group, at that customer’s regional distribution centre. You were aware of that intended use.</w:t>
      </w:r>
    </w:p>
    <w:p>
      <w:pPr>
        <w:spacing w:after="120"/>
      </w:pPr>
      <w:r>
        <w:t xml:space="preserve">Your standard terms and our client’s order incorporated a warranty that the units would be free from defects in materials and workmanship for 24 months from delivery. In any event, terms were implied into the contract by sections 13 and 14 of the Sale of Goods Act 1979 that the units would correspond with their description and would be of satisfactory quality and fit for their purpose.</w:t>
      </w:r>
    </w:p>
    <w:p>
      <w:pPr>
        <w:pStyle w:val="Heading2"/>
      </w:pPr>
      <w:r>
        <w:t xml:space="preserve">The defects</w:t>
      </w:r>
    </w:p>
    <w:p>
      <w:pPr>
        <w:spacing w:after="120"/>
      </w:pPr>
      <w:r>
        <w:t xml:space="preserve">The units were delivered between April and June 2024 and installed by our client during the summer of 2024. From September 2024 onwards the units began to fail in service. As at the date of this letter, 41 of the 60 units have suffered premature failure, in each case within the 24-month warranty period. The failures have manifested as catastrophic output-bearing collapse and stripping of the bevel gear set.</w:t>
      </w:r>
    </w:p>
    <w:p>
      <w:pPr>
        <w:spacing w:after="120"/>
      </w:pPr>
      <w:r>
        <w:t xml:space="preserve">Our client commissioned an independent investigation by Renshaw Drive Engineering Consultants. Their findings, which we summarise without prejudice to our client’s right to rely on the full report, are that the failures are attributable to an undersized output bearing and incorrect case-hardening of the bevel pinion – in other words, a defect in design and manufacture, and not to any misuse, overloading or maintenance failure on our client’s part.</w:t>
      </w:r>
    </w:p>
    <w:p>
      <w:pPr>
        <w:pStyle w:val="Heading2"/>
      </w:pPr>
      <w:r>
        <w:t xml:space="preserve">Our client’s losses</w:t>
      </w:r>
    </w:p>
    <w:p>
      <w:pPr>
        <w:spacing w:after="120"/>
      </w:pPr>
      <w:r>
        <w:t xml:space="preserve">As a direct result of the defects our client has suffered loss, which it presently quantifies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c>
          <w:tcPr>
            <w:tcW w:type="dxa" w:w="6326"/>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Head of loss</w:t>
            </w:r>
          </w:p>
        </w:tc>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b/>
                <w:bCs/>
              </w:rPr>
              <w:t xml:space="preserve">Amount</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Replacement gearmotor units (Renforth Drives)</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£214,000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Removal, reinstallation and labour</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£78,500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Expedited freight and handling</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£12,400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Liquidated damages paid to Halcyon Retail Group for line downtime</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£95,000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Investigation and expert costs</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£18,600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Total</w:t>
            </w:r>
          </w:p>
        </w:tc>
        <w:tc>
          <w:tcPr>
            <w:tcW w:type="dxa" w:w="2700"/>
            <w:tcBorders>
              <w:top w:val="single" w:color="BFBFBF" w:sz="1"/>
              <w:left w:val="single" w:color="BFBFBF" w:sz="1"/>
              <w:bottom w:val="single" w:color="BFBFBF" w:sz="1"/>
              <w:right w:val="single" w:color="BFBFBF" w:sz="1"/>
            </w:tcBorders>
            <w:shd w:fill="DDEBF7" w:val="clear"/>
            <w:tcMar>
              <w:top w:type="dxa" w:w="60"/>
              <w:left w:type="dxa" w:w="120"/>
              <w:bottom w:type="dxa" w:w="60"/>
              <w:right w:type="dxa" w:w="120"/>
            </w:tcMar>
          </w:tcPr>
          <w:p>
            <w:pPr>
              <w:jc w:val="right"/>
            </w:pPr>
            <w:r>
              <w:rPr>
                <w:b/>
                <w:bCs/>
              </w:rPr>
              <w:t xml:space="preserve">£418,500</w:t>
            </w:r>
          </w:p>
        </w:tc>
      </w:tr>
    </w:tbl>
    <w:p>
      <w:pPr>
        <w:spacing w:after="120"/>
      </w:pPr>
      <w:r>
        <w:t xml:space="preserve">Our client also reserves the right to claim interest and its costs.</w:t>
      </w:r>
    </w:p>
    <w:p>
      <w:pPr>
        <w:pStyle w:val="Heading2"/>
      </w:pPr>
      <w:r>
        <w:t xml:space="preserve">What we require</w:t>
      </w:r>
    </w:p>
    <w:p>
      <w:pPr>
        <w:spacing w:after="120"/>
      </w:pPr>
      <w:r>
        <w:t xml:space="preserve">We invite you, within 21 days of the date of this letter, to:</w:t>
      </w:r>
    </w:p>
    <w:p>
      <w:pPr>
        <w:pStyle w:val="ListParagraph"/>
        <w:numPr>
          <w:ilvl w:val="2"/>
          <w:numId w:val="2"/>
        </w:numPr>
        <w:spacing w:after="120"/>
      </w:pPr>
      <w:r>
        <w:t xml:space="preserve">acknowledge that the units were defective and in breach of the express warranty and the implied terms set out above;</w:t>
      </w:r>
    </w:p>
    <w:p>
      <w:pPr>
        <w:pStyle w:val="ListParagraph"/>
        <w:numPr>
          <w:ilvl w:val="2"/>
          <w:numId w:val="2"/>
        </w:numPr>
        <w:spacing w:after="120"/>
      </w:pPr>
      <w:r>
        <w:t xml:space="preserve">confirm your agreement in principle to compensate our client for the losses identified above; and</w:t>
      </w:r>
    </w:p>
    <w:p>
      <w:pPr>
        <w:pStyle w:val="ListParagraph"/>
        <w:numPr>
          <w:ilvl w:val="2"/>
          <w:numId w:val="2"/>
        </w:numPr>
        <w:spacing w:after="120"/>
      </w:pPr>
      <w:r>
        <w:t xml:space="preserve">provide the name and contact details of your insurers and the solicitors instructed on your behalf.</w:t>
      </w:r>
    </w:p>
    <w:p>
      <w:pPr>
        <w:spacing w:after="120"/>
      </w:pPr>
      <w:r>
        <w:t xml:space="preserve">If we do not receive a satisfactory response within 21 days our client reserves the right to issue proceedings without further notice and to rely on this letter on the question of costs. Our client is willing to consider mediation or another form of alternative dispute resolution and invites your proposals.</w:t>
      </w:r>
    </w:p>
    <w:p>
      <w:pPr>
        <w:spacing w:after="240"/>
      </w:pPr>
      <w:r>
        <w:t xml:space="preserve">We look forward to hearing from you or your solicitors.</w:t>
      </w:r>
    </w:p>
    <w:p>
      <w:pPr>
        <w:spacing w:after="360"/>
      </w:pPr>
      <w:r>
        <w:t xml:space="preserve">Yours faithfully</w:t>
      </w:r>
    </w:p>
    <w:p>
      <w:pPr>
        <w:spacing w:after="120"/>
      </w:pPr>
      <w:r>
        <w:rPr>
          <w:b/>
          <w:bCs/>
        </w:rPr>
        <w:t xml:space="preserve">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Whitfield Carter LLP, 22 Bishopsgate, London EC2N 4BQ  |  T +44 (0)20 7946 0991  |  www.whitfieldcarter.com</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8"/>
        <w:szCs w:val="28"/>
      </w:rPr>
      <w:t xml:space="preserve">Whitfield Carter LLP</w:t>
    </w:r>
  </w:p>
  <w:p>
    <w:pPr>
      <w:jc w:val="right"/>
    </w:pPr>
    <w:r>
      <w:rPr>
        <w:color w:val="595959"/>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Before Action</dc:title>
  <dc:creator>Whitfield Carter LLP</dc:creator>
  <cp:lastModifiedBy>Un-named</cp:lastModifiedBy>
  <cp:revision>1</cp:revision>
  <dcterms:created xsi:type="dcterms:W3CDTF">2026-06-30T09:02:37.011Z</dcterms:created>
  <dcterms:modified xsi:type="dcterms:W3CDTF">2026-06-30T09:02:37.011Z</dcterms:modified>
</cp:coreProperties>
</file>

<file path=docProps/custom.xml><?xml version="1.0" encoding="utf-8"?>
<Properties xmlns="http://schemas.openxmlformats.org/officeDocument/2006/custom-properties" xmlns:vt="http://schemas.openxmlformats.org/officeDocument/2006/docPropsVTypes"/>
</file>