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rPr>
        <w:t xml:space="preserve">IN THE HIGH COURT OF JUSTICE</w:t>
      </w:r>
    </w:p>
    <w:p>
      <w:pPr>
        <w:spacing w:after="0"/>
        <w:jc w:val="center"/>
      </w:pPr>
      <w:r>
        <w:t xml:space="preserve">BUSINESS AND PROPERTY COURTS OF ENGLAND AND WALES</w:t>
      </w:r>
    </w:p>
    <w:p>
      <w:pPr>
        <w:spacing w:after="0"/>
        <w:jc w:val="center"/>
      </w:pPr>
      <w:r>
        <w:t xml:space="preserve">TECHNOLOGY AND CONSTRUCTION COURT (KBD)</w:t>
      </w:r>
    </w:p>
    <w:p>
      <w:pPr>
        <w:spacing w:after="120"/>
        <w:jc w:val="right"/>
      </w:pPr>
      <w:r>
        <w:t xml:space="preserve">Claim No. </w:t>
      </w:r>
      <w:r>
        <w:rPr>
          <w:b/>
          <w:bCs/>
        </w:rPr>
        <w:t xml:space="preserve">BL-2025-000412</w:t>
      </w:r>
    </w:p>
    <w:p>
      <w:pPr>
        <w:spacing w:after="120"/>
      </w:pPr>
      <w:r>
        <w:t xml:space="preserve">B E T W E E N :</w:t>
      </w:r>
    </w:p>
    <w:p>
      <w:pPr>
        <w:spacing w:after="0"/>
        <w:jc w:val="center"/>
      </w:pPr>
      <w:r>
        <w:rPr>
          <w:b/>
          <w:bCs/>
        </w:rPr>
        <w:t xml:space="preserve">ASHFIELD DYNAMICS LIMITED</w:t>
      </w:r>
    </w:p>
    <w:p>
      <w:pPr>
        <w:spacing w:after="0"/>
        <w:jc w:val="center"/>
      </w:pPr>
      <w:r>
        <w:t xml:space="preserve">(Company No. 04122887)</w:t>
      </w:r>
    </w:p>
    <w:p>
      <w:pPr>
        <w:spacing w:after="0"/>
        <w:jc w:val="right"/>
      </w:pPr>
      <w:r>
        <w:t xml:space="preserve">Claimant</w:t>
      </w:r>
    </w:p>
    <w:p>
      <w:pPr>
        <w:spacing w:after="0"/>
        <w:jc w:val="center"/>
      </w:pPr>
      <w:r>
        <w:t xml:space="preserve">- and -</w:t>
      </w:r>
    </w:p>
    <w:p>
      <w:pPr>
        <w:spacing w:after="0"/>
        <w:jc w:val="center"/>
      </w:pPr>
      <w:r>
        <w:rPr>
          <w:b/>
          <w:bCs/>
        </w:rPr>
        <w:t xml:space="preserve">MARWICK DRIVES LIMITED</w:t>
      </w:r>
    </w:p>
    <w:p>
      <w:pPr>
        <w:spacing w:after="0"/>
        <w:jc w:val="center"/>
      </w:pPr>
      <w:r>
        <w:t xml:space="preserve">(Company No. 03761540)</w:t>
      </w:r>
    </w:p>
    <w:p>
      <w:pPr>
        <w:spacing w:after="120"/>
        <w:jc w:val="right"/>
      </w:pPr>
      <w:r>
        <w:t xml:space="preserve">Defendant</w:t>
      </w:r>
    </w:p>
    <w:p>
      <w:pPr>
        <w:pBdr>
          <w:top w:val="single" w:color="000000" w:sz="6"/>
          <w:bottom w:val="single" w:color="000000" w:sz="6"/>
        </w:pBdr>
        <w:spacing w:after="60" w:before="60"/>
        <w:jc w:val="center"/>
      </w:pPr>
      <w:r>
        <w:rPr>
          <w:b/>
          <w:bCs/>
        </w:rPr>
        <w:t xml:space="preserve">PARTICULARS OF CLAIM</w:t>
      </w:r>
    </w:p>
    <w:p>
      <w:pPr>
        <w:spacing w:after="160"/>
      </w:pPr>
      <w:r>
        <w:t xml:space="preserve"/>
      </w:r>
    </w:p>
    <w:p>
      <w:pPr>
        <w:pStyle w:val="Heading2"/>
      </w:pPr>
      <w:r>
        <w:t xml:space="preserve">The parties</w:t>
      </w:r>
    </w:p>
    <w:p>
      <w:pPr>
        <w:pStyle w:val="ListParagraph"/>
        <w:numPr>
          <w:ilvl w:val="0"/>
          <w:numId w:val="2"/>
        </w:numPr>
        <w:spacing w:after="120"/>
      </w:pPr>
      <w:r>
        <w:t xml:space="preserve">The Claimant is a company incorporated in England and Wales which designs, manufactures and installs automated conveyor and materials-handling systems. The Defendant is a company incorporated in England and Wales which manufactures and supplies industrial gearmotors and drive units.</w:t>
      </w:r>
    </w:p>
    <w:p>
      <w:pPr>
        <w:pStyle w:val="Heading2"/>
      </w:pPr>
      <w:r>
        <w:t xml:space="preserve">The Contract</w:t>
      </w:r>
    </w:p>
    <w:p>
      <w:pPr>
        <w:pStyle w:val="ListParagraph"/>
        <w:numPr>
          <w:ilvl w:val="0"/>
          <w:numId w:val="2"/>
        </w:numPr>
        <w:spacing w:after="120"/>
      </w:pPr>
      <w:r>
        <w:t xml:space="preserve">By a purchase order numbered PO-AD-4471 dated 14 March 2024, accepted by the Defendant’s written order acknowledgement dated 18 March 2024 (“the Contract”), the Defendant agreed to design, manufacture and supply to the Claimant 60 MD-450 helical-bevel gearmotor units (“the Units”) at a price of £3,150 per Unit, being £189,000 in aggregate (excluding VAT).</w:t>
      </w:r>
    </w:p>
    <w:p>
      <w:pPr>
        <w:pStyle w:val="ListParagraph"/>
        <w:numPr>
          <w:ilvl w:val="0"/>
          <w:numId w:val="2"/>
        </w:numPr>
        <w:spacing w:after="120"/>
      </w:pPr>
      <w:r>
        <w:t xml:space="preserve">It was an express term of the Contract, contained in clause 9 of the Defendant’s standard conditions of sale incorporated into the Contract, that the Units would be free from defects in materials and workmanship for a period of 24 months from the date of delivery (“the Warranty”).</w:t>
      </w:r>
    </w:p>
    <w:p>
      <w:pPr>
        <w:pStyle w:val="ListParagraph"/>
        <w:numPr>
          <w:ilvl w:val="0"/>
          <w:numId w:val="2"/>
        </w:numPr>
        <w:spacing w:after="120"/>
      </w:pPr>
      <w:r>
        <w:t xml:space="preserve">It was further an implied term of the Contract that:</w:t>
      </w:r>
    </w:p>
    <w:p>
      <w:pPr>
        <w:pStyle w:val="ListParagraph"/>
        <w:numPr>
          <w:ilvl w:val="1"/>
          <w:numId w:val="2"/>
        </w:numPr>
        <w:spacing w:after="120"/>
      </w:pPr>
      <w:r>
        <w:t xml:space="preserve">the Units would correspond with their description, pursuant to section 13 of the Sale of Goods Act 1979;</w:t>
      </w:r>
    </w:p>
    <w:p>
      <w:pPr>
        <w:pStyle w:val="ListParagraph"/>
        <w:numPr>
          <w:ilvl w:val="1"/>
          <w:numId w:val="2"/>
        </w:numPr>
        <w:spacing w:after="120"/>
      </w:pPr>
      <w:r>
        <w:t xml:space="preserve">the Units would be of satisfactory quality, pursuant to section 14(2) of the Sale of Goods Act 1979; and</w:t>
      </w:r>
    </w:p>
    <w:p>
      <w:pPr>
        <w:pStyle w:val="ListParagraph"/>
        <w:numPr>
          <w:ilvl w:val="1"/>
          <w:numId w:val="2"/>
        </w:numPr>
        <w:spacing w:after="120"/>
      </w:pPr>
      <w:r>
        <w:t xml:space="preserve">the Units would be reasonably fit for the purpose for which they were supplied, pursuant to section 14(3) of the Sale of Goods Act 1979.</w:t>
      </w:r>
    </w:p>
    <w:p>
      <w:pPr>
        <w:pStyle w:val="ListParagraph"/>
        <w:numPr>
          <w:ilvl w:val="0"/>
          <w:numId w:val="2"/>
        </w:numPr>
        <w:spacing w:after="120"/>
      </w:pPr>
      <w:r>
        <w:t xml:space="preserve">At the time of the Contract the Defendant knew that the Claimant required the Units for incorporation into a high-throughput “Linevue” conveyor system being constructed by the Claimant for its end-customer, Halcyon Retail Group, and that the Units would be required to operate continuously for extended duty cycles. The Claimant relied on the Defendant’s skill and judgement in supplying Units fit for that purpose.</w:t>
      </w:r>
    </w:p>
    <w:p>
      <w:pPr>
        <w:pStyle w:val="Heading2"/>
      </w:pPr>
      <w:r>
        <w:t xml:space="preserve">Delivery and installation</w:t>
      </w:r>
    </w:p>
    <w:p>
      <w:pPr>
        <w:pStyle w:val="ListParagraph"/>
        <w:numPr>
          <w:ilvl w:val="0"/>
          <w:numId w:val="2"/>
        </w:numPr>
        <w:spacing w:after="120"/>
      </w:pPr>
      <w:r>
        <w:t xml:space="preserve">The Units were delivered between 24 April 2024 and 11 June 2024 and were installed by the Claimant into the Linevue system during June to August 2024. The system was commissioned and handed over to Halcyon Retail Group on 2 September 2024.</w:t>
      </w:r>
    </w:p>
    <w:p>
      <w:pPr>
        <w:pStyle w:val="Heading2"/>
      </w:pPr>
      <w:r>
        <w:t xml:space="preserve">The defects and breach</w:t>
      </w:r>
    </w:p>
    <w:p>
      <w:pPr>
        <w:pStyle w:val="ListParagraph"/>
        <w:numPr>
          <w:ilvl w:val="0"/>
          <w:numId w:val="2"/>
        </w:numPr>
        <w:spacing w:after="120"/>
      </w:pPr>
      <w:r>
        <w:t xml:space="preserve">From in or about September 2024 the Units began to fail in service. By the date of these Particulars of Claim, 41 of the 60 Units had failed, in each case within the period of the Warranty. The failures comprised premature collapse of the output bearing and consequential stripping of the bevel gear set.</w:t>
      </w:r>
    </w:p>
    <w:p>
      <w:pPr>
        <w:pStyle w:val="ListParagraph"/>
        <w:numPr>
          <w:ilvl w:val="0"/>
          <w:numId w:val="2"/>
        </w:numPr>
        <w:spacing w:after="120"/>
      </w:pPr>
      <w:r>
        <w:t xml:space="preserve">The true cause of the failures, as established by metallurgical and engineering investigation, is that:</w:t>
      </w:r>
    </w:p>
    <w:p>
      <w:pPr>
        <w:pStyle w:val="ListParagraph"/>
        <w:numPr>
          <w:ilvl w:val="1"/>
          <w:numId w:val="2"/>
        </w:numPr>
        <w:spacing w:after="120"/>
      </w:pPr>
      <w:r>
        <w:t xml:space="preserve">the output bearing specified and fitted by the Defendant was undersized for the rated load of the Units; and</w:t>
      </w:r>
    </w:p>
    <w:p>
      <w:pPr>
        <w:pStyle w:val="ListParagraph"/>
        <w:numPr>
          <w:ilvl w:val="1"/>
          <w:numId w:val="2"/>
        </w:numPr>
        <w:spacing w:after="120"/>
      </w:pPr>
      <w:r>
        <w:t xml:space="preserve">the bevel pinion was incorrectly case-hardened, resulting in inadequate core strength and premature fatigue failure.</w:t>
      </w:r>
    </w:p>
    <w:p>
      <w:pPr>
        <w:pStyle w:val="ListParagraph"/>
        <w:numPr>
          <w:ilvl w:val="0"/>
          <w:numId w:val="2"/>
        </w:numPr>
        <w:spacing w:after="120"/>
      </w:pPr>
      <w:r>
        <w:t xml:space="preserve">By reason of the matters aforesaid the Units were not free from defects in materials and workmanship, did not correspond with their description, were not of satisfactory quality and were not fit for their purpose. The Defendant was thereby in breach of the Warranty and of the implied terms pleaded at paragraphs 3 and 4 above.</w:t>
      </w:r>
    </w:p>
    <w:p>
      <w:pPr>
        <w:pStyle w:val="Heading2"/>
      </w:pPr>
      <w:r>
        <w:t xml:space="preserve">Loss and damage</w:t>
      </w:r>
    </w:p>
    <w:p>
      <w:pPr>
        <w:pStyle w:val="ListParagraph"/>
        <w:numPr>
          <w:ilvl w:val="0"/>
          <w:numId w:val="2"/>
        </w:numPr>
        <w:spacing w:after="120"/>
      </w:pPr>
      <w:r>
        <w:t xml:space="preserve">By reason of the Defendant’s breaches the Claimant has suffered loss and damage, particulars of which are set out in the Schedule of Loss served with these Particulars of Claim and summarised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c>
          <w:tcPr>
            <w:tcW w:type="dxa" w:w="6326"/>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Head of loss</w:t>
            </w:r>
          </w:p>
        </w:tc>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jc w:val="right"/>
            </w:pPr>
            <w:r>
              <w:rPr>
                <w:b/>
                <w:bCs/>
              </w:rPr>
              <w:t xml:space="preserve">Amount</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Cost of replacement gearmotor units</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£214,000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Removal, reinstallation and labour</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£78,500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Expedited freight and handling</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£12,400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Liquidated damages paid to Halcyon Retail Group</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£95,000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Investigation and expert costs</w:t>
            </w:r>
          </w:p>
        </w:tc>
        <w:tc>
          <w:tcPr>
            <w:tcW w:type="dxa" w:w="2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jc w:val="right"/>
            </w:pPr>
            <w:r>
              <w:rPr>
                <w:b w:val="false"/>
                <w:bCs w:val="false"/>
              </w:rPr>
              <w:t xml:space="preserve">£18,600</w:t>
            </w:r>
          </w:p>
        </w:tc>
      </w:tr>
      <w:tr>
        <w:tc>
          <w:tcPr>
            <w:tcW w:type="dxa" w:w="6326"/>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rPr>
              <w:t xml:space="preserve">Total</w:t>
            </w:r>
          </w:p>
        </w:tc>
        <w:tc>
          <w:tcPr>
            <w:tcW w:type="dxa" w:w="2700"/>
            <w:tcBorders>
              <w:top w:val="single" w:color="BFBFBF" w:sz="1"/>
              <w:left w:val="single" w:color="BFBFBF" w:sz="1"/>
              <w:bottom w:val="single" w:color="BFBFBF" w:sz="1"/>
              <w:right w:val="single" w:color="BFBFBF" w:sz="1"/>
            </w:tcBorders>
            <w:shd w:fill="DDEBF7" w:val="clear"/>
            <w:tcMar>
              <w:top w:type="dxa" w:w="60"/>
              <w:left w:type="dxa" w:w="120"/>
              <w:bottom w:type="dxa" w:w="60"/>
              <w:right w:type="dxa" w:w="120"/>
            </w:tcMar>
          </w:tcPr>
          <w:p>
            <w:pPr>
              <w:jc w:val="right"/>
            </w:pPr>
            <w:r>
              <w:rPr>
                <w:b/>
                <w:bCs/>
              </w:rPr>
              <w:t xml:space="preserve">£418,500</w:t>
            </w:r>
          </w:p>
        </w:tc>
      </w:tr>
    </w:tbl>
    <w:p>
      <w:pPr>
        <w:pStyle w:val="ListParagraph"/>
        <w:numPr>
          <w:ilvl w:val="0"/>
          <w:numId w:val="2"/>
        </w:numPr>
        <w:spacing w:after="120"/>
      </w:pPr>
      <w:r>
        <w:t xml:space="preserve">The losses at sub-paragraphs (a) to (c) and (e) above were the natural and direct consequence of the Defendant’s breaches. The liquidated damages at sub-paragraph (d) were paid by the Claimant to Halcyon Retail Group under clause 14 of the Claimant’s supply agreement with that customer in respect of line downtime caused by the failures, and were within the reasonable contemplation of the parties at the time of the Contract.</w:t>
      </w:r>
    </w:p>
    <w:p>
      <w:pPr>
        <w:pStyle w:val="Heading2"/>
      </w:pPr>
      <w:r>
        <w:t xml:space="preserve">Interest</w:t>
      </w:r>
    </w:p>
    <w:p>
      <w:pPr>
        <w:pStyle w:val="ListParagraph"/>
        <w:numPr>
          <w:ilvl w:val="0"/>
          <w:numId w:val="2"/>
        </w:numPr>
        <w:spacing w:after="120"/>
      </w:pPr>
      <w:r>
        <w:t xml:space="preserve">The Claimant claims interest on the sums found due pursuant to section 35A of the Senior Courts Act 1981 at such rate and for such period as the Court thinks fit.</w:t>
      </w:r>
    </w:p>
    <w:p>
      <w:pPr>
        <w:spacing w:after="120" w:before="120"/>
      </w:pPr>
      <w:r>
        <w:rPr>
          <w:b/>
          <w:bCs/>
        </w:rPr>
        <w:t xml:space="preserve">AND the Claimant claims:</w:t>
      </w:r>
    </w:p>
    <w:p>
      <w:pPr>
        <w:pStyle w:val="ListParagraph"/>
        <w:numPr>
          <w:ilvl w:val="0"/>
          <w:numId w:val="2"/>
        </w:numPr>
        <w:spacing w:after="120"/>
      </w:pPr>
      <w:r>
        <w:t xml:space="preserve">Damages in the sum of £418,500;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w:t>
      </w:r>
    </w:p>
    <w:p>
      <w:pPr>
        <w:spacing w:after="120" w:before="240"/>
      </w:pPr>
      <w:r>
        <w:rPr>
          <w:b/>
          <w:bCs/>
        </w:rPr>
        <w:t xml:space="preserve">HARRIET STANFORD</w:t>
      </w:r>
    </w:p>
    <w:p>
      <w:pPr>
        <w:spacing w:after="240"/>
      </w:pPr>
      <w:r>
        <w:t xml:space="preserve">Eldon Chambers</w:t>
      </w:r>
    </w:p>
    <w:p>
      <w:pPr>
        <w:spacing w:after="12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pPr>
        <w:spacing w:after="0"/>
      </w:pPr>
      <w:r>
        <w:t xml:space="preserve">Signed: ............................................   Dated: 11 April 2025</w:t>
      </w:r>
    </w:p>
    <w:p>
      <w:pPr>
        <w:spacing w:after="120"/>
      </w:pPr>
      <w:r>
        <w:t xml:space="preserve">David Ashby, Managing Director, for and on behalf of Ashfield Dynamics Limited</w:t>
      </w:r>
    </w:p>
    <w:p>
      <w:pPr>
        <w:spacing w:after="120"/>
      </w:pPr>
      <w:r>
        <w:rPr>
          <w:i/>
          <w:iCs/>
          <w:sz w:val="16"/>
          <w:szCs w:val="16"/>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Particulars of Claim</dc:title>
  <dc:creator>Whitfield Carter LLP</dc:creator>
  <cp:lastModifiedBy>Un-named</cp:lastModifiedBy>
  <cp:revision>1</cp:revision>
  <dcterms:created xsi:type="dcterms:W3CDTF">2026-06-30T09:02:37.034Z</dcterms:created>
  <dcterms:modified xsi:type="dcterms:W3CDTF">2026-06-30T09:02:37.034Z</dcterms:modified>
</cp:coreProperties>
</file>

<file path=docProps/custom.xml><?xml version="1.0" encoding="utf-8"?>
<Properties xmlns="http://schemas.openxmlformats.org/officeDocument/2006/custom-properties" xmlns:vt="http://schemas.openxmlformats.org/officeDocument/2006/docPropsVTypes"/>
</file>