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t xml:space="preserve">Claim No. </w:t>
      </w:r>
      <w:r>
        <w:rPr>
          <w:b/>
          <w:bCs/>
        </w:rPr>
        <w:t xml:space="preserve">BL-2025-000412</w:t>
      </w:r>
    </w:p>
    <w:p>
      <w:pPr>
        <w:spacing w:after="120"/>
        <w:jc w:val="right"/>
      </w:pPr>
      <w:r>
        <w:rPr>
          <w:sz w:val="16"/>
          <w:szCs w:val="16"/>
        </w:rPr>
        <w:t xml:space="preserve">Witness: P. Voss  |  First statement  |  Exhibits: PV1–PV3  |  Dated: 26 June 2025</w:t>
      </w:r>
    </w:p>
    <w:p>
      <w:pPr>
        <w:spacing w:after="0"/>
        <w:jc w:val="center"/>
      </w:pPr>
      <w:r>
        <w:rPr>
          <w:b/>
          <w:bCs/>
        </w:rPr>
        <w:t xml:space="preserve">IN THE HIGH COURT OF JUSTICE – BUSINESS AND PROPERTY COURTS (TCC)</w:t>
      </w:r>
    </w:p>
    <w:p>
      <w:pPr>
        <w:spacing w:after="160"/>
        <w:jc w:val="center"/>
      </w:pPr>
      <w:r>
        <w:rPr>
          <w:b/>
          <w:bCs/>
        </w:rPr>
        <w:t xml:space="preserve">ASHFIELD DYNAMICS LIMITED v MARWICK DRIVES LIMITED</w:t>
      </w:r>
    </w:p>
    <w:p>
      <w:pPr>
        <w:pBdr>
          <w:top w:val="single" w:color="000000" w:sz="6"/>
          <w:bottom w:val="single" w:color="000000" w:sz="6"/>
        </w:pBdr>
        <w:spacing w:after="160" w:before="60"/>
        <w:jc w:val="center"/>
      </w:pPr>
      <w:r>
        <w:rPr>
          <w:b/>
          <w:bCs/>
        </w:rPr>
        <w:t xml:space="preserve">FIRST WITNESS STATEMENT OF PAUL VOSS</w:t>
      </w:r>
    </w:p>
    <w:p>
      <w:pPr>
        <w:pStyle w:val="ListParagraph"/>
        <w:numPr>
          <w:ilvl w:val="0"/>
          <w:numId w:val="2"/>
        </w:numPr>
        <w:spacing w:after="120"/>
      </w:pPr>
      <w:r>
        <w:t xml:space="preserve">I, PAUL VOSS, of Ashfield Dynamics Limited, Wheler Road, Coventry CV3 4LB, WILL SAY as follows:</w:t>
      </w:r>
    </w:p>
    <w:p>
      <w:pPr>
        <w:pStyle w:val="ListParagraph"/>
        <w:numPr>
          <w:ilvl w:val="0"/>
          <w:numId w:val="2"/>
        </w:numPr>
        <w:spacing w:after="120"/>
      </w:pPr>
      <w:r>
        <w:t xml:space="preserve">I am the Operations Director of the Claimant. I have held that position since 2019 and have responsibility for the manufacture, installation and commissioning of the Claimant’s conveyor systems. I make this statement from my own knowledge save where I indicate otherwise, in which case I state the source of my information and believe it to be true.</w:t>
      </w:r>
    </w:p>
    <w:p>
      <w:pPr>
        <w:pStyle w:val="ListParagraph"/>
        <w:numPr>
          <w:ilvl w:val="0"/>
          <w:numId w:val="2"/>
        </w:numPr>
        <w:spacing w:after="120"/>
      </w:pPr>
      <w:r>
        <w:t xml:space="preserve">There is now produced and shown to me a paginated bundle of documents marked “PV1” to which I refer in this statement by page number.</w:t>
      </w:r>
    </w:p>
    <w:p>
      <w:pPr>
        <w:pStyle w:val="Heading2"/>
      </w:pPr>
      <w:r>
        <w:t xml:space="preserve">The procurement of the Units</w:t>
      </w:r>
    </w:p>
    <w:p>
      <w:pPr>
        <w:pStyle w:val="ListParagraph"/>
        <w:numPr>
          <w:ilvl w:val="0"/>
          <w:numId w:val="2"/>
        </w:numPr>
        <w:spacing w:after="120"/>
      </w:pPr>
      <w:r>
        <w:t xml:space="preserve">In early 2024 the Claimant was engaged to design and build a high-throughput conveyor system, known internally as the “Linevue” line, for Halcyon Retail Group’s distribution centre. I was responsible for selecting the drive units. I approached the Defendant because we had used its products before. I spoke to Lesley Kane, the Defendant’s Commercial Manager, on several occasions in February and March 2024.</w:t>
      </w:r>
    </w:p>
    <w:p>
      <w:pPr>
        <w:pStyle w:val="ListParagraph"/>
        <w:numPr>
          <w:ilvl w:val="0"/>
          <w:numId w:val="2"/>
        </w:numPr>
        <w:spacing w:after="120"/>
      </w:pPr>
      <w:r>
        <w:t xml:space="preserve">I told Ms Kane that the units were for a continuously-running parcel sortation line operating up to 20 hours per day, and that we needed units rated for that duty. She recommended the MD-450 and confirmed in an email of 11 March 2024 that it was “more than adequate for continuous conveyor duty of the kind you describe”. That email is at PV1/14. I deny the suggestion in the Defence that the Defendant was told only that the units were for unspecified “conveyor duty”.</w:t>
      </w:r>
    </w:p>
    <w:p>
      <w:pPr>
        <w:pStyle w:val="Heading2"/>
      </w:pPr>
      <w:r>
        <w:t xml:space="preserve">Installation</w:t>
      </w:r>
    </w:p>
    <w:p>
      <w:pPr>
        <w:pStyle w:val="ListParagraph"/>
        <w:numPr>
          <w:ilvl w:val="0"/>
          <w:numId w:val="2"/>
        </w:numPr>
        <w:spacing w:after="120"/>
      </w:pPr>
      <w:r>
        <w:t xml:space="preserve">The Units were installed by my team in accordance with the Defendant’s installation manual. Alignment was checked with laser alignment equipment and recorded; the records are at PV1/31–52. The alignment was within the tolerances stated in the manual. I reject the allegation that the Units were misaligned on installation.</w:t>
      </w:r>
    </w:p>
    <w:p>
      <w:pPr>
        <w:pStyle w:val="ListParagraph"/>
        <w:numPr>
          <w:ilvl w:val="0"/>
          <w:numId w:val="2"/>
        </w:numPr>
        <w:spacing w:after="120"/>
      </w:pPr>
      <w:r>
        <w:t xml:space="preserve">The Units were lubricated and maintained in accordance with the Defendant’s schedule. Our planned-maintenance records, at PV1/53–71, show that every service was carried out on time.</w:t>
      </w:r>
    </w:p>
    <w:p>
      <w:pPr>
        <w:pStyle w:val="Heading2"/>
      </w:pPr>
      <w:r>
        <w:t xml:space="preserve">The failures</w:t>
      </w:r>
    </w:p>
    <w:p>
      <w:pPr>
        <w:pStyle w:val="ListParagraph"/>
        <w:numPr>
          <w:ilvl w:val="0"/>
          <w:numId w:val="2"/>
        </w:numPr>
        <w:spacing w:after="120"/>
      </w:pPr>
      <w:r>
        <w:t xml:space="preserve">The first failure occurred on 17 September 2024, about two weeks after handover. Thereafter failures occurred at an accelerating rate. By the end of January 2025, 41 of the 60 Units had failed. Each failure took the affected line section out of service, and on three occasions the whole line was stopped. The pattern of failures was identical in each case: a loud noise from the output end, followed by seizure.</w:t>
      </w:r>
    </w:p>
    <w:p>
      <w:pPr>
        <w:pStyle w:val="ListParagraph"/>
        <w:numPr>
          <w:ilvl w:val="0"/>
          <w:numId w:val="2"/>
        </w:numPr>
        <w:spacing w:after="120"/>
      </w:pPr>
      <w:r>
        <w:t xml:space="preserve">I arranged for failed Units to be examined by Renshaw Drive Engineering Consultants. I provided them with failed Units, our installation and maintenance records, and the duty data from the line’s control system. I did not suggest any conclusion to them.</w:t>
      </w:r>
    </w:p>
    <w:p>
      <w:pPr>
        <w:pStyle w:val="Heading2"/>
      </w:pPr>
      <w:r>
        <w:t xml:space="preserve">Consequences for the Claimant</w:t>
      </w:r>
    </w:p>
    <w:p>
      <w:pPr>
        <w:pStyle w:val="ListParagraph"/>
        <w:numPr>
          <w:ilvl w:val="0"/>
          <w:numId w:val="2"/>
        </w:numPr>
        <w:spacing w:after="120"/>
      </w:pPr>
      <w:r>
        <w:t xml:space="preserve">The failures caused serious disruption. The Claimant was obliged to source 60 replacement units from Renforth Drives at short notice and at a cost considerably higher than the Defendant’s price. The Claimant also had to pay Halcyon Retail Group liquidated damages of £95,000 for the downtime, under clause 14 of our supply agreement, a copy of which is at PV1/72.</w:t>
      </w:r>
    </w:p>
    <w:p>
      <w:pPr>
        <w:pStyle w:val="ListParagraph"/>
        <w:numPr>
          <w:ilvl w:val="0"/>
          <w:numId w:val="2"/>
        </w:numPr>
        <w:spacing w:after="120"/>
      </w:pPr>
      <w:r>
        <w:t xml:space="preserve">I believe that the failures were caused by defects in the Units and not by anything done or omitted by the Claimant.</w:t>
      </w:r>
    </w:p>
    <w:p>
      <w:pPr>
        <w:spacing w:after="120" w:before="200"/>
      </w:pPr>
      <w:r>
        <w:rPr>
          <w:b/>
          <w:bCs/>
        </w:rP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0"/>
      </w:pPr>
      <w:r>
        <w:t xml:space="preserve">Signed: ............................................</w:t>
      </w:r>
    </w:p>
    <w:p>
      <w:pPr>
        <w:spacing w:after="0"/>
      </w:pPr>
      <w:r>
        <w:rPr>
          <w:b/>
          <w:bCs/>
        </w:rPr>
        <w:t xml:space="preserve">PAUL VOSS</w:t>
      </w:r>
    </w:p>
    <w:p>
      <w:pPr>
        <w:spacing w:after="120"/>
      </w:pPr>
      <w:r>
        <w:t xml:space="preserve">Dated: 26 June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Statement of Paul Voss</dc:title>
  <dc:creator>Whitfield Carter LLP</dc:creator>
  <cp:lastModifiedBy>Un-named</cp:lastModifiedBy>
  <cp:revision>1</cp:revision>
  <dcterms:created xsi:type="dcterms:W3CDTF">2026-06-30T09:02:37.068Z</dcterms:created>
  <dcterms:modified xsi:type="dcterms:W3CDTF">2026-06-30T09:02:37.068Z</dcterms:modified>
</cp:coreProperties>
</file>

<file path=docProps/custom.xml><?xml version="1.0" encoding="utf-8"?>
<Properties xmlns="http://schemas.openxmlformats.org/officeDocument/2006/custom-properties" xmlns:vt="http://schemas.openxmlformats.org/officeDocument/2006/docPropsVTypes"/>
</file>