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rPr>
        <w:t xml:space="preserve">IN THE HIGH COURT OF JUSTICE</w:t>
      </w:r>
    </w:p>
    <w:p>
      <w:pPr>
        <w:spacing w:after="40"/>
        <w:jc w:val="center"/>
      </w:pPr>
      <w:r>
        <w:t xml:space="preserve">BUSINESS AND PROPERTY COURTS OF ENGLAND AND WALES</w:t>
      </w:r>
    </w:p>
    <w:p>
      <w:pPr>
        <w:spacing w:after="40"/>
        <w:jc w:val="center"/>
      </w:pPr>
      <w:r>
        <w:t xml:space="preserve">COMMERCIAL COURT (KBD)</w:t>
      </w:r>
    </w:p>
    <w:p>
      <w:pPr>
        <w:spacing w:after="80" w:before="80"/>
        <w:jc w:val="right"/>
      </w:pPr>
      <w:r>
        <w:rPr>
          <w:b/>
          <w:bCs/>
        </w:rPr>
        <w:t xml:space="preserve">Claim No. CL-2025-000412</w:t>
      </w:r>
    </w:p>
    <w:p>
      <w:pPr>
        <w:spacing w:after="40"/>
        <w:jc w:val="center"/>
      </w:pPr>
      <w:r>
        <w:t xml:space="preserve">B E T W E E N :</w:t>
      </w:r>
    </w:p>
    <w:p>
      <w:pPr>
        <w:spacing w:after="20" w:before="120"/>
        <w:jc w:val="center"/>
      </w:pPr>
      <w:r>
        <w:rPr>
          <w:b/>
          <w:bCs/>
        </w:rPr>
        <w:t xml:space="preserve">BRACKEN GROUP PLC</w:t>
      </w:r>
    </w:p>
    <w:p>
      <w:pPr>
        <w:spacing w:after="60"/>
        <w:jc w:val="right"/>
      </w:pPr>
      <w:r>
        <w:t xml:space="preserve">Claimant</w:t>
      </w:r>
    </w:p>
    <w:p>
      <w:pPr>
        <w:spacing w:after="40"/>
        <w:jc w:val="center"/>
      </w:pPr>
      <w:r>
        <w:t xml:space="preserve">- and -</w:t>
      </w:r>
    </w:p>
    <w:p>
      <w:pPr>
        <w:spacing w:after="20" w:before="60"/>
        <w:jc w:val="center"/>
      </w:pPr>
      <w:r>
        <w:rPr>
          <w:b/>
          <w:bCs/>
        </w:rPr>
        <w:t xml:space="preserve">CALDERWOOD INDUSTRIES LIMITED</w:t>
      </w:r>
    </w:p>
    <w:p>
      <w:pPr>
        <w:spacing w:after="120"/>
        <w:jc w:val="right"/>
      </w:pPr>
      <w:r>
        <w:t xml:space="preserve">Defendant</w:t>
      </w:r>
    </w:p>
    <w:p>
      <w:pPr>
        <w:pBdr>
          <w:top w:val="single" w:color="000000" w:sz="6" w:space="4"/>
          <w:bottom w:val="single" w:color="000000" w:sz="6" w:space="4"/>
        </w:pBdr>
        <w:spacing w:after="120" w:before="80"/>
        <w:jc w:val="center"/>
      </w:pPr>
      <w:r>
        <w:rPr>
          <w:b/>
          <w:bCs/>
        </w:rPr>
        <w:t xml:space="preserve">REPLY</w:t>
      </w:r>
    </w:p>
    <w:p>
      <w:pPr>
        <w:pStyle w:val="ListParagraph"/>
        <w:numPr>
          <w:ilvl w:val="0"/>
          <w:numId w:val="2"/>
        </w:numPr>
        <w:spacing w:after="140"/>
        <w:jc w:val="both"/>
      </w:pPr>
      <w:r>
        <w:t xml:space="preserve">Save where the same consists of admissions, the Claimant joins issue with the Defendant on its Defence and denies each and every allegation therein as if the same were set out and traversed seriatim.</w:t>
      </w:r>
    </w:p>
    <w:p>
      <w:pPr>
        <w:pStyle w:val="ListParagraph"/>
        <w:numPr>
          <w:ilvl w:val="0"/>
          <w:numId w:val="2"/>
        </w:numPr>
        <w:spacing w:after="140"/>
        <w:jc w:val="both"/>
      </w:pPr>
      <w:r>
        <w:t xml:space="preserve">The Claimant repeats the Particulars of Claim.</w:t>
      </w:r>
    </w:p>
    <w:p>
      <w:pPr>
        <w:spacing w:after="80" w:before="160"/>
      </w:pPr>
      <w:r>
        <w:rPr>
          <w:b/>
          <w:bCs/>
        </w:rPr>
        <w:t xml:space="preserve">The alleged variation</w:t>
      </w:r>
    </w:p>
    <w:p>
      <w:pPr>
        <w:pStyle w:val="ListParagraph"/>
        <w:numPr>
          <w:ilvl w:val="0"/>
          <w:numId w:val="2"/>
        </w:numPr>
        <w:spacing w:after="140"/>
        <w:jc w:val="both"/>
      </w:pPr>
      <w:r>
        <w:t xml:space="preserve">As to paragraphs 7 and 8 of the Defence, it is denied that any variation of the Supply Agreement was agreed, whether at the meeting of mid-July 2024 or at all. No representative of the Claimant having authority to vary the Supply Agreement agreed to relax the 410 bar pressure tolerance. Mr Hartley had no actual or ostensible authority to agree any such variation, as the Defendant knew or ought to have known.</w:t>
      </w:r>
    </w:p>
    <w:p>
      <w:pPr>
        <w:pStyle w:val="ListParagraph"/>
        <w:numPr>
          <w:ilvl w:val="0"/>
          <w:numId w:val="2"/>
        </w:numPr>
        <w:spacing w:after="140"/>
        <w:jc w:val="both"/>
      </w:pPr>
      <w:r>
        <w:t xml:space="preserve">Further and in any event, any such oral variation was of no effect by reason of clause 19 of the Supply Agreement, which provided that no variation would be effective unless made in writing and signed by or on behalf of each of the parties. The Claimant will rely upon the decision of the Supreme Court in MWB Business Exchange Centres Ltd v Rock Advertising Ltd [2018] UKSC 24 as to the efficacy of such a no-oral-modification clause.</w:t>
      </w:r>
    </w:p>
    <w:p>
      <w:pPr>
        <w:pStyle w:val="ListParagraph"/>
        <w:numPr>
          <w:ilvl w:val="0"/>
          <w:numId w:val="2"/>
        </w:numPr>
        <w:spacing w:after="140"/>
        <w:jc w:val="both"/>
      </w:pPr>
      <w:r>
        <w:t xml:space="preserve">The plea of estoppel is denied. The Claimant made no unequivocal representation that it would not rely upon clause 7.4 or clause 19, and the Defendant did not rely upon any such representation to its detriment. The Claimant's continued acceptance of deliveries pending investigation of the failures is not, and was not, a waiver of its contractual rights.</w:t>
      </w:r>
    </w:p>
    <w:p>
      <w:pPr>
        <w:spacing w:after="80" w:before="160"/>
      </w:pPr>
      <w:r>
        <w:rPr>
          <w:b/>
          <w:bCs/>
        </w:rPr>
        <w:t xml:space="preserve">Late and non-delivery and the alleged force majeure</w:t>
      </w:r>
    </w:p>
    <w:p>
      <w:pPr>
        <w:pStyle w:val="ListParagraph"/>
        <w:numPr>
          <w:ilvl w:val="0"/>
          <w:numId w:val="2"/>
        </w:numPr>
        <w:spacing w:after="140"/>
        <w:jc w:val="both"/>
      </w:pPr>
      <w:r>
        <w:t xml:space="preserve">As to paragraphs 11 and 12 of the Defence, it is denied that the Claimant failed to provide accurate forecasts or that any delay was caused or contributed to by the Claimant. The Claimant provided rolling forecasts in accordance with clause 3 throughout.</w:t>
      </w:r>
    </w:p>
    <w:p>
      <w:pPr>
        <w:pStyle w:val="ListParagraph"/>
        <w:numPr>
          <w:ilvl w:val="0"/>
          <w:numId w:val="2"/>
        </w:numPr>
        <w:spacing w:after="140"/>
        <w:jc w:val="both"/>
      </w:pPr>
      <w:r>
        <w:t xml:space="preserve">As to the alleged force majeure event, the Claimant will say that (a) no written notice of any force majeure event was given as required by clause 11.2 of the Supply Agreement; (b) a number of the late and non-deliveries pre-dated the fire of 14 October 2024 relied upon and cannot have been caused by it; and (c) the fire did not in any event prevent or excuse the Defendant's performance, the Defendant having alternative sources of supply available to it.</w:t>
      </w:r>
    </w:p>
    <w:p>
      <w:pPr>
        <w:spacing w:after="80" w:before="160"/>
      </w:pPr>
      <w:r>
        <w:rPr>
          <w:b/>
          <w:bCs/>
        </w:rPr>
        <w:t xml:space="preserve">Mitigation</w:t>
      </w:r>
    </w:p>
    <w:p>
      <w:pPr>
        <w:pStyle w:val="ListParagraph"/>
        <w:numPr>
          <w:ilvl w:val="0"/>
          <w:numId w:val="2"/>
        </w:numPr>
        <w:spacing w:after="140"/>
        <w:jc w:val="both"/>
      </w:pPr>
      <w:r>
        <w:t xml:space="preserve">As to paragraph 15 of the Defence, it is denied that the Claimant failed to mitigate its loss. The Claimant acted reasonably in sourcing replacement Assemblies from Marlin Hydraulics Ltd at the earliest practicable opportunity and at the best price reasonably available to it in the market, having regard to the urgency created by the Defendant's breaches and to the technical qualification required of any replacement supplier. The Claimant did seek and consider competing quotations, as the disclosure will demonstrate.</w:t>
      </w:r>
    </w:p>
    <w:p>
      <w:pPr>
        <w:spacing w:after="80" w:before="160"/>
      </w:pPr>
      <w:r>
        <w:rPr>
          <w:b/>
          <w:bCs/>
        </w:rPr>
        <w:t xml:space="preserve">The clause 12 limitation</w:t>
      </w:r>
    </w:p>
    <w:p>
      <w:pPr>
        <w:pStyle w:val="ListParagraph"/>
        <w:numPr>
          <w:ilvl w:val="0"/>
          <w:numId w:val="2"/>
        </w:numPr>
        <w:spacing w:after="140"/>
        <w:jc w:val="both"/>
      </w:pPr>
      <w:r>
        <w:t xml:space="preserve">As to paragraph 17 of the Defence, it is denied that clause 12 operates to limit the Defendant's liability as alleged. On its true construction clause 12 is directed only at indirect and consequential loss and does not exclude or limit liability for the heads of loss claimed, which are direct losses. Further or alternatively, if and to the extent that clause 12 purports to limit liability for such losses, it is unreasonable within the meaning of sections 3 and 11 of, and Schedule 2 to, the Unfair Contract Terms Act 1977, and is accordingly of no effect.</w:t>
      </w:r>
    </w:p>
    <w:p>
      <w:pPr>
        <w:pStyle w:val="ListParagraph"/>
        <w:numPr>
          <w:ilvl w:val="0"/>
          <w:numId w:val="2"/>
        </w:numPr>
        <w:spacing w:after="140"/>
        <w:jc w:val="both"/>
      </w:pPr>
      <w:r>
        <w:t xml:space="preserve">As to the allegation that the Claimant's termination was itself a repudiation, the same is denied for the reasons set out in the Particulars of Claim, which are repeated.</w:t>
      </w:r>
    </w:p>
    <w:p>
      <w:pPr>
        <w:pStyle w:val="ListParagraph"/>
        <w:numPr>
          <w:ilvl w:val="0"/>
          <w:numId w:val="2"/>
        </w:numPr>
        <w:spacing w:after="140"/>
        <w:jc w:val="both"/>
      </w:pPr>
      <w:r>
        <w:t xml:space="preserve">Save as expressly admitted, the Claimant maintains its Particulars of Claim in full.</w:t>
      </w:r>
    </w:p>
    <w:p>
      <w:pPr>
        <w:spacing w:after="80" w:before="200"/>
      </w:pPr>
      <w:r>
        <w:rPr>
          <w:b/>
          <w:bCs/>
        </w:rPr>
        <w:t xml:space="preserve">STATEMENT OF TRUTH</w:t>
      </w:r>
    </w:p>
    <w:p>
      <w:pPr>
        <w:spacing w:after="120"/>
        <w:jc w:val="both"/>
      </w:pPr>
      <w:r>
        <w:t xml:space="preserve">The Claimant believes that the facts stated in this Reply are true. I understand that proceedings for contempt of court may be brought against anyone who makes, or causes to be made, a false statement in a document verified by a statement of truth without an honest belief in its truth.</w:t>
      </w:r>
    </w:p>
    <w:p>
      <w:pPr>
        <w:spacing w:after="20"/>
      </w:pPr>
      <w:r>
        <w:t xml:space="preserve">Signed:  ........................................................</w:t>
      </w:r>
    </w:p>
    <w:p>
      <w:pPr>
        <w:spacing w:after="20"/>
      </w:pPr>
      <w:r>
        <w:rPr>
          <w:b/>
          <w:bCs/>
        </w:rPr>
        <w:t xml:space="preserve">Tom Gallagher</w:t>
      </w:r>
    </w:p>
    <w:p>
      <w:pPr>
        <w:spacing w:after="20"/>
      </w:pPr>
      <w:r>
        <w:t xml:space="preserve">Solicitor for the Claimant</w:t>
      </w:r>
    </w:p>
    <w:p>
      <w:pPr>
        <w:spacing w:after="0"/>
      </w:pPr>
      <w:r>
        <w:t xml:space="preserve">Dated: 8 January 2026</w:t>
      </w:r>
    </w:p>
    <w:p>
      <w:pPr>
        <w:spacing w:before="120"/>
      </w:pPr>
      <w:r>
        <w:rPr>
          <w:color w:val="666666"/>
          <w:sz w:val="18"/>
          <w:szCs w:val="18"/>
        </w:rPr>
        <w:t xml:space="preserve">Whitfield Carter LLP, 22 Bishopsgate, London EC2N 4BQ — Solicitors for the Claimant.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Reply — Bracken Group plc v Calderwood Industries Limited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lowerLetter"/>
      <w:lvlText w:val="(%1)"/>
      <w:lvlJc w:val="left"/>
      <w:pPr>
        <w:ind w:left="1134" w:hanging="567"/>
      </w:pPr>
    </w:lvl>
  </w:abstractNum>
  <w:abstractNum w:abstractNumId="4" w15:restartNumberingAfterBreak="0">
    <w:multiLevelType w:val="hybridMultilevel"/>
    <w:lvl w:ilvl="0" w15:tentative="1">
      <w:start w:val="1"/>
      <w:numFmt w:val="lowerLetter"/>
      <w:lvlText w:val="(%1)"/>
      <w:lvlJc w:val="left"/>
      <w:pPr>
        <w:ind w:left="1134" w:hanging="56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2026-06-10T20:42:31.528Z</dcterms:created>
  <dcterms:modified xsi:type="dcterms:W3CDTF">2026-06-10T20:42:31.528Z</dcterms:modified>
</cp:coreProperties>
</file>

<file path=docProps/custom.xml><?xml version="1.0" encoding="utf-8"?>
<Properties xmlns="http://schemas.openxmlformats.org/officeDocument/2006/custom-properties" xmlns:vt="http://schemas.openxmlformats.org/officeDocument/2006/docPropsVTypes"/>
</file>