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sz w:val="30"/>
          <w:szCs w:val="30"/>
        </w:rPr>
        <w:t xml:space="preserve">WHITFIELD CARTER LLP</w:t>
      </w:r>
    </w:p>
    <w:p>
      <w:pPr>
        <w:spacing w:after="0"/>
      </w:pPr>
      <w:r>
        <w:rPr>
          <w:color w:val="555555"/>
          <w:sz w:val="18"/>
          <w:szCs w:val="18"/>
        </w:rPr>
        <w:t xml:space="preserve">Solicitors</w:t>
      </w:r>
    </w:p>
    <w:p>
      <w:pPr>
        <w:pBdr>
          <w:bottom w:val="single" w:color="1F3864" w:sz="6" w:space="4"/>
        </w:pBdr>
        <w:spacing w:after="120"/>
      </w:pPr>
      <w:r>
        <w:rPr>
          <w:color w:val="555555"/>
          <w:sz w:val="16"/>
          <w:szCs w:val="16"/>
        </w:rPr>
        <w:t xml:space="preserve">22 Bishopsgate, London EC2N 4BQ   •   DX 123 London   •   T +44 (0)20 7946 0100   •   whitfieldcarter.com</w:t>
      </w:r>
    </w:p>
    <w:p>
      <w:pPr>
        <w:spacing w:after="0"/>
        <w:jc w:val="right"/>
      </w:pPr>
      <w:r>
        <w:rPr>
          <w:sz w:val="20"/>
          <w:szCs w:val="20"/>
        </w:rPr>
        <w:t xml:space="preserve">Our ref: WC/SAW/00104</w:t>
      </w:r>
    </w:p>
    <w:p>
      <w:pPr>
        <w:spacing w:after="0"/>
        <w:jc w:val="right"/>
      </w:pPr>
      <w:r>
        <w:rPr>
          <w:sz w:val="20"/>
          <w:szCs w:val="20"/>
        </w:rPr>
        <w:t xml:space="preserve">Your ref: —</w:t>
      </w:r>
    </w:p>
    <w:p>
      <w:pPr>
        <w:spacing w:after="120"/>
        <w:jc w:val="right"/>
      </w:pPr>
      <w:r>
        <w:rPr>
          <w:sz w:val="20"/>
          <w:szCs w:val="20"/>
        </w:rPr>
        <w:t xml:space="preserve">Date: 5 September 2025</w:t>
      </w:r>
    </w:p>
    <w:p>
      <w:pPr>
        <w:spacing w:after="20"/>
      </w:pPr>
      <w:r>
        <w:t xml:space="preserve">The Directors</w:t>
      </w:r>
    </w:p>
    <w:p>
      <w:pPr>
        <w:spacing w:after="20"/>
      </w:pPr>
      <w:r>
        <w:t xml:space="preserve">Calderwood Industries Limited</w:t>
      </w:r>
    </w:p>
    <w:p>
      <w:pPr>
        <w:spacing w:after="20"/>
      </w:pPr>
      <w:r>
        <w:t xml:space="preserve">Calderwood Works, Brierfield Road</w:t>
      </w:r>
    </w:p>
    <w:p>
      <w:pPr>
        <w:spacing w:after="20"/>
      </w:pPr>
      <w:r>
        <w:t xml:space="preserve">Burnley BB10 2QT</w:t>
      </w:r>
    </w:p>
    <w:p>
      <w:pPr>
        <w:spacing w:after="120" w:before="120"/>
      </w:pPr>
      <w:r>
        <w:rPr>
          <w:b/>
          <w:bCs/>
          <w:sz w:val="20"/>
          <w:szCs w:val="20"/>
        </w:rPr>
        <w:t xml:space="preserve">BY EMAIL AND BY FIRST-CLASS POST</w:t>
      </w:r>
    </w:p>
    <w:p>
      <w:pPr>
        <w:spacing w:after="120"/>
        <w:jc w:val="both"/>
      </w:pPr>
      <w:r>
        <w:t xml:space="preserve">Dear Sirs</w:t>
      </w:r>
    </w:p>
    <w:p>
      <w:pPr>
        <w:spacing w:after="40"/>
      </w:pPr>
      <w:r>
        <w:rPr>
          <w:b/>
          <w:bCs/>
        </w:rPr>
        <w:t xml:space="preserve">LETTER OF CLAIM — SUPPLY AGREEMENT DATED 14 MARCH 2023</w:t>
      </w:r>
    </w:p>
    <w:p>
      <w:pPr>
        <w:spacing w:after="120"/>
      </w:pPr>
      <w:r>
        <w:rPr>
          <w:b/>
          <w:bCs/>
        </w:rPr>
        <w:t xml:space="preserve">BRACKEN GROUP PLC v CALDERWOOD INDUSTRIES LIMITED</w:t>
      </w:r>
    </w:p>
    <w:p>
      <w:pPr>
        <w:spacing w:after="120"/>
        <w:jc w:val="both"/>
      </w:pPr>
      <w:r>
        <w:t xml:space="preserve">We act for Bracken Group plc (“our client”), whose registered office is at Bracken House, 8 Friar Lane, Leicester LE1 5RA. This letter is sent in accordance with the Practice Direction on Pre-Action Conduct and Protocols. We ask you to treat it as our client’s letter of claim. Please read it carefully and refer it to your insurers and to any solicitors you instruct without delay.</w:t>
      </w:r>
    </w:p>
    <w:p>
      <w:pPr>
        <w:spacing w:after="60"/>
      </w:pPr>
      <w:r>
        <w:rPr>
          <w:b/>
          <w:bCs/>
        </w:rPr>
        <w:t xml:space="preserve">The Agreement</w:t>
      </w:r>
    </w:p>
    <w:p>
      <w:pPr>
        <w:spacing w:after="120"/>
        <w:jc w:val="both"/>
      </w:pPr>
      <w:r>
        <w:t xml:space="preserve">By a written agreement dated 14 March 2023 (the “Supply Agreement”), your company agreed to manufacture and supply to our client hydraulic pump assemblies (model HPX-440) and associated components in accordance with our client’s rolling forecasts and call-off orders over an initial term of 36 months. The total anticipated contract value over the term was approximately £6,240,000. The Assemblies are incorporated into our client’s high-pressure fluid-power products manufactured at its Sheffield facility and are safety-critical.</w:t>
      </w:r>
    </w:p>
    <w:p>
      <w:pPr>
        <w:spacing w:after="120"/>
        <w:jc w:val="both"/>
      </w:pPr>
      <w:r>
        <w:t xml:space="preserve">The Supply Agreement included the following terms material to this claim: by clause 5.1, you were to deliver conforming goods by the dates specified in each accepted call-off order, time being of the essence under clause 5.4; by clause 7.2, you warranted that the goods would conform to Specification SP-HPX-440 rev. C and be free from defects; by clause 7.4, you warranted that each assembly would withstand a sustained operating pressure of not less than 410 bar; by clause 7.6, you were to repair or replace non-conforming goods at your cost; and by clause 19, no variation would be effective unless made in writing and signed by both parties. The agreement is governed by English law (clause 14).</w:t>
      </w:r>
    </w:p>
    <w:p>
      <w:pPr>
        <w:spacing w:after="60"/>
      </w:pPr>
      <w:r>
        <w:rPr>
          <w:b/>
          <w:bCs/>
        </w:rPr>
        <w:t xml:space="preserve">The breaches</w:t>
      </w:r>
    </w:p>
    <w:p>
      <w:pPr>
        <w:spacing w:after="120"/>
        <w:jc w:val="both"/>
      </w:pPr>
      <w:r>
        <w:t xml:space="preserve">Defective goods. From on or about August 2024, beginning with batch B-2408, you supplied assemblies which failed to maintain the warranted operating pressure of 410 bar and which exhibited premature seal failure under load. On our client’s incoming hydrostatic testing, a material proportion of the affected assemblies lost pressure integrity between 360 and 395 bar. These assemblies did not conform to the Specification and were not of satisfactory quality or fit for purpose, in breach of clauses 7.2 and 7.4 and of the terms implied by sections 13 and 14 of the Sale of Goods Act 1979.</w:t>
      </w:r>
    </w:p>
    <w:p>
      <w:pPr>
        <w:spacing w:after="120"/>
        <w:jc w:val="both"/>
      </w:pPr>
      <w:r>
        <w:t xml:space="preserve">Late and non-delivery. Between September 2024 and February 2025 you were late on 14 of 19 scheduled deliveries and wholly failed to deliver against call-off orders CO-2024-188 and CO-2024-201, in breach of clause 5.1. The cumulative effect was that our client was unable to maintain output on its Sheffield line and was required to halt or curtail production on several occasions.</w:t>
      </w:r>
    </w:p>
    <w:p>
      <w:pPr>
        <w:spacing w:after="120"/>
        <w:jc w:val="both"/>
      </w:pPr>
      <w:r>
        <w:t xml:space="preserve">Our client notified you of the non-conformities and delivery failures by emails dated 21 August, 9 September and 3 October 2024. No adequate response was received and the assemblies were not repaired or replaced as clause 7.6 required.</w:t>
      </w:r>
    </w:p>
    <w:p>
      <w:pPr>
        <w:spacing w:after="60"/>
      </w:pPr>
      <w:r>
        <w:rPr>
          <w:b/>
          <w:bCs/>
        </w:rPr>
        <w:t xml:space="preserve">Termination</w:t>
      </w:r>
    </w:p>
    <w:p>
      <w:pPr>
        <w:spacing w:after="120"/>
        <w:jc w:val="both"/>
      </w:pPr>
      <w:r>
        <w:t xml:space="preserve">These breaches, individually and cumulatively, deprived our client of substantially the whole benefit of the Supply Agreement and amounted to a repudiation. Our client accepted that repudiation and terminated the Supply Agreement by letter dated 28 February 2025. Our client was obliged to procure replacement supply from an alternative manufacturer at materially higher cost.</w:t>
      </w:r>
    </w:p>
    <w:p>
      <w:pPr>
        <w:spacing w:after="60"/>
      </w:pPr>
      <w:r>
        <w:rPr>
          <w:b/>
          <w:bCs/>
        </w:rPr>
        <w:t xml:space="preserve">Our client’s loss</w:t>
      </w:r>
    </w:p>
    <w:p>
      <w:pPr>
        <w:spacing w:after="120"/>
        <w:jc w:val="both"/>
      </w:pPr>
      <w:r>
        <w:t xml:space="preserve">Our client’s losses presently exceed £3.8 million, comprising: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888888" w:sz="1"/>
              <w:left w:val="single" w:color="888888" w:sz="1"/>
              <w:bottom w:val="single" w:color="888888" w:sz="1"/>
              <w:right w:val="single" w:color="888888" w:sz="1"/>
            </w:tcBorders>
            <w:shd w:fill="D9D9D9" w:val="clear"/>
            <w:tcMar>
              <w:top w:type="dxa" w:w="50"/>
              <w:left w:type="dxa" w:w="100"/>
              <w:bottom w:type="dxa" w:w="50"/>
              <w:right w:type="dxa" w:w="100"/>
            </w:tcMar>
          </w:tcPr>
          <w:p>
            <w:r>
              <w:rPr>
                <w:b/>
                <w:bCs/>
                <w:sz w:val="20"/>
                <w:szCs w:val="20"/>
              </w:rPr>
              <w:t xml:space="preserve">Head of loss</w:t>
            </w:r>
          </w:p>
        </w:tc>
        <w:tc>
          <w:tcPr>
            <w:tcW w:type="dxa" w:w="3360"/>
            <w:tcBorders>
              <w:top w:val="single" w:color="888888" w:sz="1"/>
              <w:left w:val="single" w:color="888888" w:sz="1"/>
              <w:bottom w:val="single" w:color="888888" w:sz="1"/>
              <w:right w:val="single" w:color="888888" w:sz="1"/>
            </w:tcBorders>
            <w:shd w:fill="D9D9D9" w:val="clear"/>
            <w:tcMar>
              <w:top w:type="dxa" w:w="50"/>
              <w:left w:type="dxa" w:w="100"/>
              <w:bottom w:type="dxa" w:w="50"/>
              <w:right w:type="dxa" w:w="100"/>
            </w:tcMar>
          </w:tcPr>
          <w:p>
            <w:pPr>
              <w:jc w:val="right"/>
            </w:pPr>
            <w:r>
              <w:rPr>
                <w:b/>
                <w:bCs/>
                <w:sz w:val="20"/>
                <w:szCs w:val="20"/>
              </w:rPr>
              <w:t xml:space="preserve">Amount (£)</w:t>
            </w:r>
          </w:p>
        </w:tc>
      </w:tr>
      <w:tr>
        <w:tc>
          <w:tcPr>
            <w:tcW w:type="dxa" w:w="6000"/>
            <w:tcBorders>
              <w:top w:val="single" w:color="888888" w:sz="1"/>
              <w:left w:val="single" w:color="888888" w:sz="1"/>
              <w:bottom w:val="single" w:color="888888" w:sz="1"/>
              <w:right w:val="single" w:color="888888" w:sz="1"/>
            </w:tcBorders>
            <w:tcMar>
              <w:top w:type="dxa" w:w="50"/>
              <w:left w:type="dxa" w:w="100"/>
              <w:bottom w:type="dxa" w:w="50"/>
              <w:right w:type="dxa" w:w="100"/>
            </w:tcMar>
          </w:tcPr>
          <w:p>
            <w:r>
              <w:rPr>
                <w:sz w:val="22"/>
                <w:szCs w:val="22"/>
              </w:rPr>
              <w:t xml:space="preserve">Additional cost of cover (replacement supply, Marlin Hydraulics Ltd)</w:t>
            </w:r>
          </w:p>
        </w:tc>
        <w:tc>
          <w:tcPr>
            <w:tcW w:type="dxa" w:w="3360"/>
            <w:tcBorders>
              <w:top w:val="single" w:color="888888" w:sz="1"/>
              <w:left w:val="single" w:color="888888" w:sz="1"/>
              <w:bottom w:val="single" w:color="888888" w:sz="1"/>
              <w:right w:val="single" w:color="888888" w:sz="1"/>
            </w:tcBorders>
            <w:tcMar>
              <w:top w:type="dxa" w:w="50"/>
              <w:left w:type="dxa" w:w="100"/>
              <w:bottom w:type="dxa" w:w="50"/>
              <w:right w:type="dxa" w:w="100"/>
            </w:tcMar>
          </w:tcPr>
          <w:p>
            <w:pPr>
              <w:jc w:val="right"/>
            </w:pPr>
            <w:r>
              <w:rPr>
                <w:sz w:val="22"/>
                <w:szCs w:val="22"/>
              </w:rPr>
              <w:t xml:space="preserve">1,450,000</w:t>
            </w:r>
          </w:p>
        </w:tc>
      </w:tr>
      <w:tr>
        <w:tc>
          <w:tcPr>
            <w:tcW w:type="dxa" w:w="6000"/>
            <w:tcBorders>
              <w:top w:val="single" w:color="888888" w:sz="1"/>
              <w:left w:val="single" w:color="888888" w:sz="1"/>
              <w:bottom w:val="single" w:color="888888" w:sz="1"/>
              <w:right w:val="single" w:color="888888" w:sz="1"/>
            </w:tcBorders>
            <w:tcMar>
              <w:top w:type="dxa" w:w="50"/>
              <w:left w:type="dxa" w:w="100"/>
              <w:bottom w:type="dxa" w:w="50"/>
              <w:right w:type="dxa" w:w="100"/>
            </w:tcMar>
          </w:tcPr>
          <w:p>
            <w:r>
              <w:rPr>
                <w:sz w:val="22"/>
                <w:szCs w:val="22"/>
              </w:rPr>
              <w:t xml:space="preserve">Loss of profit (production downtime, Sep 2024 – Feb 2025)</w:t>
            </w:r>
          </w:p>
        </w:tc>
        <w:tc>
          <w:tcPr>
            <w:tcW w:type="dxa" w:w="3360"/>
            <w:tcBorders>
              <w:top w:val="single" w:color="888888" w:sz="1"/>
              <w:left w:val="single" w:color="888888" w:sz="1"/>
              <w:bottom w:val="single" w:color="888888" w:sz="1"/>
              <w:right w:val="single" w:color="888888" w:sz="1"/>
            </w:tcBorders>
            <w:tcMar>
              <w:top w:type="dxa" w:w="50"/>
              <w:left w:type="dxa" w:w="100"/>
              <w:bottom w:type="dxa" w:w="50"/>
              <w:right w:type="dxa" w:w="100"/>
            </w:tcMar>
          </w:tcPr>
          <w:p>
            <w:pPr>
              <w:jc w:val="right"/>
            </w:pPr>
            <w:r>
              <w:rPr>
                <w:sz w:val="22"/>
                <w:szCs w:val="22"/>
              </w:rPr>
              <w:t xml:space="preserve">2,100,000</w:t>
            </w:r>
          </w:p>
        </w:tc>
      </w:tr>
      <w:tr>
        <w:tc>
          <w:tcPr>
            <w:tcW w:type="dxa" w:w="6000"/>
            <w:tcBorders>
              <w:top w:val="single" w:color="888888" w:sz="1"/>
              <w:left w:val="single" w:color="888888" w:sz="1"/>
              <w:bottom w:val="single" w:color="888888" w:sz="1"/>
              <w:right w:val="single" w:color="888888" w:sz="1"/>
            </w:tcBorders>
            <w:tcMar>
              <w:top w:type="dxa" w:w="50"/>
              <w:left w:type="dxa" w:w="100"/>
              <w:bottom w:type="dxa" w:w="50"/>
              <w:right w:type="dxa" w:w="100"/>
            </w:tcMar>
          </w:tcPr>
          <w:p>
            <w:r>
              <w:rPr>
                <w:sz w:val="22"/>
                <w:szCs w:val="22"/>
              </w:rPr>
              <w:t xml:space="preserve">Wasted expenditure (inspection, rework, abortive handling)</w:t>
            </w:r>
          </w:p>
        </w:tc>
        <w:tc>
          <w:tcPr>
            <w:tcW w:type="dxa" w:w="3360"/>
            <w:tcBorders>
              <w:top w:val="single" w:color="888888" w:sz="1"/>
              <w:left w:val="single" w:color="888888" w:sz="1"/>
              <w:bottom w:val="single" w:color="888888" w:sz="1"/>
              <w:right w:val="single" w:color="888888" w:sz="1"/>
            </w:tcBorders>
            <w:tcMar>
              <w:top w:type="dxa" w:w="50"/>
              <w:left w:type="dxa" w:w="100"/>
              <w:bottom w:type="dxa" w:w="50"/>
              <w:right w:type="dxa" w:w="100"/>
            </w:tcMar>
          </w:tcPr>
          <w:p>
            <w:pPr>
              <w:jc w:val="right"/>
            </w:pPr>
            <w:r>
              <w:rPr>
                <w:sz w:val="22"/>
                <w:szCs w:val="22"/>
              </w:rPr>
              <w:t xml:space="preserve">250,000</w:t>
            </w:r>
          </w:p>
        </w:tc>
      </w:tr>
      <w:tr>
        <w:tc>
          <w:tcPr>
            <w:tcW w:type="dxa" w:w="6000"/>
            <w:tcBorders>
              <w:top w:val="single" w:color="888888" w:sz="1"/>
              <w:left w:val="single" w:color="888888" w:sz="1"/>
              <w:bottom w:val="single" w:color="888888" w:sz="1"/>
              <w:right w:val="single" w:color="888888" w:sz="1"/>
            </w:tcBorders>
            <w:shd w:fill="F2F2F2" w:val="clear"/>
            <w:tcMar>
              <w:top w:type="dxa" w:w="50"/>
              <w:left w:type="dxa" w:w="100"/>
              <w:bottom w:type="dxa" w:w="50"/>
              <w:right w:type="dxa" w:w="100"/>
            </w:tcMar>
          </w:tcPr>
          <w:p>
            <w:r>
              <w:rPr>
                <w:b/>
                <w:bCs/>
                <w:sz w:val="22"/>
                <w:szCs w:val="22"/>
              </w:rPr>
              <w:t xml:space="preserve">Total (excluding interest)</w:t>
            </w:r>
          </w:p>
        </w:tc>
        <w:tc>
          <w:tcPr>
            <w:tcW w:type="dxa" w:w="3360"/>
            <w:tcBorders>
              <w:top w:val="single" w:color="888888" w:sz="1"/>
              <w:left w:val="single" w:color="888888" w:sz="1"/>
              <w:bottom w:val="single" w:color="888888" w:sz="1"/>
              <w:right w:val="single" w:color="888888" w:sz="1"/>
            </w:tcBorders>
            <w:shd w:fill="F2F2F2" w:val="clear"/>
            <w:tcMar>
              <w:top w:type="dxa" w:w="50"/>
              <w:left w:type="dxa" w:w="100"/>
              <w:bottom w:type="dxa" w:w="50"/>
              <w:right w:type="dxa" w:w="100"/>
            </w:tcMar>
          </w:tcPr>
          <w:p>
            <w:pPr>
              <w:jc w:val="right"/>
            </w:pPr>
            <w:r>
              <w:rPr>
                <w:b/>
                <w:bCs/>
                <w:sz w:val="22"/>
                <w:szCs w:val="22"/>
              </w:rPr>
              <w:t xml:space="preserve">3,800,000</w:t>
            </w:r>
          </w:p>
        </w:tc>
      </w:tr>
    </w:tbl>
    <w:p>
      <w:pPr>
        <w:spacing w:after="120" w:before="120"/>
        <w:jc w:val="both"/>
      </w:pPr>
      <w:r>
        <w:t xml:space="preserve">together with interest pursuant to section 35A of the Senior Courts Act 1981. A full schedule of loss, supported by the relevant invoices and records, can be provided on request.</w:t>
      </w:r>
    </w:p>
    <w:p>
      <w:pPr>
        <w:spacing w:after="60"/>
      </w:pPr>
      <w:r>
        <w:rPr>
          <w:b/>
          <w:bCs/>
        </w:rPr>
        <w:t xml:space="preserve">What we require</w:t>
      </w:r>
    </w:p>
    <w:p>
      <w:pPr>
        <w:spacing w:after="120"/>
        <w:jc w:val="both"/>
      </w:pPr>
      <w:r>
        <w:t xml:space="preserve">We invite you, within 21 days of the date of this letter (that is, by 26 September 2025), to: (1) confirm whether liability is admitted and, if not, set out fully the basis on which it is denied; (2) provide copies of the documents on which you intend to rely, including any records relating to the manufacture and testing of the affected batches and any alleged variation of the Specification; and (3) put forward your proposals for resolution of this dispute.</w:t>
      </w:r>
    </w:p>
    <w:p>
      <w:pPr>
        <w:spacing w:after="120"/>
        <w:jc w:val="both"/>
      </w:pPr>
      <w:r>
        <w:t xml:space="preserve">Our client is willing to consider mediation or another form of alternative dispute resolution, and invites your agreement in principle to do so. We remind you of your obligation under the Practice Direction to engage in pre-action correspondence and to consider ADR; a failure to do so may be taken into account by the Court on the question of costs.</w:t>
      </w:r>
    </w:p>
    <w:p>
      <w:pPr>
        <w:spacing w:after="120"/>
        <w:jc w:val="both"/>
      </w:pPr>
      <w:r>
        <w:t xml:space="preserve">Should we not receive a substantive response by 26 September 2025, our client reserves the right to issue proceedings in the Commercial Court without further notice and to rely upon this letter on the question of costs. All our client’s rights are expressly reserved.</w:t>
      </w:r>
    </w:p>
    <w:p>
      <w:pPr>
        <w:spacing w:after="120"/>
        <w:jc w:val="both"/>
      </w:pPr>
      <w:r>
        <w:t xml:space="preserve">We look forward to hearing from you, or from your solicitors, by the date stated above.</w:t>
      </w:r>
    </w:p>
    <w:p>
      <w:pPr>
        <w:spacing w:after="60" w:before="120"/>
      </w:pPr>
      <w:r>
        <w:t xml:space="preserve">Yours faithfully</w:t>
      </w:r>
    </w:p>
    <w:p>
      <w:pPr>
        <w:spacing w:after="0"/>
      </w:pPr>
      <w:r>
        <w:rPr>
          <w:b/>
          <w:bCs/>
        </w:rPr>
        <w:t xml:space="preserve">Whitfield Carter LLP</w:t>
      </w:r>
    </w:p>
    <w:p>
      <w:pPr>
        <w:spacing w:after="0"/>
      </w:pPr>
      <w:r>
        <w:t xml:space="preserve">Sarah Whitfield, Partner</w:t>
      </w:r>
    </w:p>
    <w:p>
      <w:pPr>
        <w:spacing w:after="0"/>
      </w:pPr>
      <w:r>
        <w:rPr>
          <w:color w:val="555555"/>
          <w:sz w:val="18"/>
          <w:szCs w:val="18"/>
        </w:rPr>
        <w:t xml:space="preserve">sarah.whitfield@whitfieldcarter.com   |   +44 (0)20 7946 0112</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Letter of Claim — Bracken Group plc v Calderwood Industries Limited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567"/>
      </w:pPr>
    </w:lvl>
  </w:abstractNum>
  <w:abstractNum w:abstractNumId="3" w15:restartNumberingAfterBreak="0">
    <w:multiLevelType w:val="hybridMultilevel"/>
    <w:lvl w:ilvl="0" w15:tentative="1">
      <w:start w:val="1"/>
      <w:numFmt w:val="lowerLetter"/>
      <w:lvlText w:val="(%1)"/>
      <w:lvlJc w:val="left"/>
      <w:pPr>
        <w:ind w:left="1134" w:hanging="567"/>
      </w:pPr>
    </w:lvl>
  </w:abstractNum>
  <w:abstractNum w:abstractNumId="4" w15:restartNumberingAfterBreak="0">
    <w:multiLevelType w:val="hybridMultilevel"/>
    <w:lvl w:ilvl="0" w15:tentative="1">
      <w:start w:val="1"/>
      <w:numFmt w:val="lowerLetter"/>
      <w:lvlText w:val="(%1)"/>
      <w:lvlJc w:val="left"/>
      <w:pPr>
        <w:ind w:left="1134" w:hanging="567"/>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80" w:before="16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2026-06-10T20:44:21.662Z</dcterms:created>
  <dcterms:modified xsi:type="dcterms:W3CDTF">2026-06-10T20:44:21.662Z</dcterms:modified>
</cp:coreProperties>
</file>

<file path=docProps/custom.xml><?xml version="1.0" encoding="utf-8"?>
<Properties xmlns="http://schemas.openxmlformats.org/officeDocument/2006/custom-properties" xmlns:vt="http://schemas.openxmlformats.org/officeDocument/2006/docPropsVTypes"/>
</file>