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sz w:val="20"/>
          <w:szCs w:val="20"/>
        </w:rPr>
        <w:t xml:space="preserve">Claimant: Bracken Group plc</w:t>
      </w:r>
    </w:p>
    <w:p>
      <w:pPr>
        <w:spacing w:after="0"/>
        <w:jc w:val="right"/>
      </w:pPr>
      <w:r>
        <w:rPr>
          <w:sz w:val="20"/>
          <w:szCs w:val="20"/>
        </w:rPr>
        <w:t xml:space="preserve">Witness: R. Calloway</w:t>
      </w:r>
    </w:p>
    <w:p>
      <w:pPr>
        <w:spacing w:after="0"/>
        <w:jc w:val="right"/>
      </w:pPr>
      <w:r>
        <w:rPr>
          <w:sz w:val="20"/>
          <w:szCs w:val="20"/>
        </w:rPr>
        <w:t xml:space="preserve">First statement</w:t>
      </w:r>
    </w:p>
    <w:p>
      <w:pPr>
        <w:spacing w:after="0"/>
        <w:jc w:val="right"/>
      </w:pPr>
      <w:r>
        <w:rPr>
          <w:sz w:val="20"/>
          <w:szCs w:val="20"/>
        </w:rPr>
        <w:t xml:space="preserve">Exhibit: “RC1”</w:t>
      </w:r>
    </w:p>
    <w:p>
      <w:pPr>
        <w:spacing w:after="120"/>
        <w:jc w:val="right"/>
      </w:pPr>
      <w:r>
        <w:rPr>
          <w:sz w:val="20"/>
          <w:szCs w:val="20"/>
        </w:rPr>
        <w:t xml:space="preserve">Dated: 21 May 2026</w:t>
      </w:r>
    </w:p>
    <w:p>
      <w:pPr>
        <w:spacing w:after="40"/>
        <w:jc w:val="center"/>
      </w:pPr>
      <w:r>
        <w:rPr>
          <w:b/>
          <w:bCs/>
        </w:rPr>
        <w:t xml:space="preserve">IN THE HIGH COURT OF JUSTICE</w:t>
      </w:r>
    </w:p>
    <w:p>
      <w:pPr>
        <w:spacing w:after="40"/>
        <w:jc w:val="center"/>
      </w:pPr>
      <w:r>
        <w:t xml:space="preserve">BUSINESS AND PROPERTY COURTS OF ENGLAND AND WALES</w:t>
      </w:r>
    </w:p>
    <w:p>
      <w:pPr>
        <w:spacing w:after="40"/>
        <w:jc w:val="center"/>
      </w:pPr>
      <w:r>
        <w:t xml:space="preserve">COMMERCIAL COURT (KBD)</w:t>
      </w:r>
    </w:p>
    <w:p>
      <w:pPr>
        <w:spacing w:after="80" w:before="60"/>
        <w:jc w:val="right"/>
      </w:pPr>
      <w:r>
        <w:rPr>
          <w:b/>
          <w:bCs/>
        </w:rPr>
        <w:t xml:space="preserve">Claim No. CL-2025-000412</w:t>
      </w:r>
    </w:p>
    <w:p>
      <w:pPr>
        <w:spacing w:after="40"/>
        <w:jc w:val="center"/>
      </w:pPr>
      <w:r>
        <w:t xml:space="preserve">B E T W E E N :</w:t>
      </w:r>
    </w:p>
    <w:p>
      <w:pPr>
        <w:spacing w:after="20" w:before="100"/>
        <w:jc w:val="center"/>
      </w:pPr>
      <w:r>
        <w:rPr>
          <w:b/>
          <w:bCs/>
        </w:rPr>
        <w:t xml:space="preserve">BRACKEN GROUP PLC</w:t>
      </w:r>
    </w:p>
    <w:p>
      <w:pPr>
        <w:spacing w:after="40"/>
        <w:jc w:val="right"/>
      </w:pPr>
      <w:r>
        <w:t xml:space="preserve">Claimant</w:t>
      </w:r>
    </w:p>
    <w:p>
      <w:pPr>
        <w:spacing w:after="40"/>
        <w:jc w:val="center"/>
      </w:pPr>
      <w:r>
        <w:t xml:space="preserve">- and -</w:t>
      </w:r>
    </w:p>
    <w:p>
      <w:pPr>
        <w:spacing w:after="20" w:before="40"/>
        <w:jc w:val="center"/>
      </w:pPr>
      <w:r>
        <w:rPr>
          <w:b/>
          <w:bCs/>
        </w:rPr>
        <w:t xml:space="preserve">CALDERWOOD INDUSTRIES LIMITED</w:t>
      </w:r>
    </w:p>
    <w:p>
      <w:pPr>
        <w:spacing w:after="120"/>
        <w:jc w:val="right"/>
      </w:pPr>
      <w:r>
        <w:t xml:space="preserve">Defendant</w:t>
      </w:r>
    </w:p>
    <w:p>
      <w:pPr>
        <w:pBdr>
          <w:top w:val="single" w:color="000000" w:sz="6" w:space="4"/>
          <w:bottom w:val="single" w:color="000000" w:sz="6" w:space="4"/>
        </w:pBdr>
        <w:spacing w:after="140" w:before="80"/>
        <w:jc w:val="center"/>
      </w:pPr>
      <w:r>
        <w:rPr>
          <w:b/>
          <w:bCs/>
        </w:rPr>
        <w:t xml:space="preserve">FIRST WITNESS STATEMENT OF RICHARD CALLOWAY</w:t>
      </w:r>
    </w:p>
    <w:p>
      <w:pPr>
        <w:spacing w:after="120"/>
        <w:jc w:val="both"/>
      </w:pPr>
      <w:r>
        <w:t xml:space="preserve">I, RICHARD CALLOWAY, of Bracken House, 8 Friar Lane, Leicester LE1 5RA, General Counsel of the Claimant, WILL SAY as follows:</w:t>
      </w:r>
    </w:p>
    <w:p>
      <w:pPr>
        <w:pStyle w:val="ListParagraph"/>
        <w:numPr>
          <w:ilvl w:val="0"/>
          <w:numId w:val="2"/>
        </w:numPr>
        <w:spacing w:after="140"/>
        <w:jc w:val="both"/>
      </w:pPr>
      <w:r>
        <w:t xml:space="preserve">I am the General Counsel of Bracken Group plc (“Bracken”) and have held that position since 2019. I am authorised to make this statement on Bracken’s behalf. Save where I indicate to the contrary, the facts set out in this statement are within my own knowledge and are true. Where I refer to matters that are not within my own knowledge, I give the source of my information and believe those matters to be true.</w:t>
      </w:r>
    </w:p>
    <w:p>
      <w:pPr>
        <w:pStyle w:val="ListParagraph"/>
        <w:numPr>
          <w:ilvl w:val="0"/>
          <w:numId w:val="2"/>
        </w:numPr>
        <w:spacing w:after="140"/>
        <w:jc w:val="both"/>
      </w:pPr>
      <w:r>
        <w:t xml:space="preserve">In preparing this statement I have reviewed the documents in the case, including Bracken’s contract file, the quality and procurement records of its Sheffield facility, and the relevant correspondence. There is now produced and shown to me a paginated bundle of documents marked “RC1” to which I refer in this statement by page number.</w:t>
      </w:r>
    </w:p>
    <w:p>
      <w:pPr>
        <w:pStyle w:val="ListParagraph"/>
        <w:numPr>
          <w:ilvl w:val="0"/>
          <w:numId w:val="2"/>
        </w:numPr>
        <w:spacing w:after="140"/>
        <w:jc w:val="both"/>
      </w:pPr>
      <w:r>
        <w:t xml:space="preserve">Bracken designs and manufactures industrial fluid-power and hydraulic systems. Its Sheffield facility assembles its flagship pressure-control product line, of which the HPX-440 pump assembly is a critical component. The HPX-440 must operate reliably at a sustained pressure of 410 bar; that requirement is central to the safety and performance of the finished product.</w:t>
      </w:r>
    </w:p>
    <w:p>
      <w:pPr>
        <w:pStyle w:val="ListParagraph"/>
        <w:numPr>
          <w:ilvl w:val="0"/>
          <w:numId w:val="2"/>
        </w:numPr>
        <w:spacing w:after="140"/>
        <w:jc w:val="both"/>
      </w:pPr>
      <w:r>
        <w:t xml:space="preserve">In early 2023 Bracken selected the Defendant, Calderwood Industries Limited (“Calderwood”), as its supplier of the HPX-440 assemblies following a competitive tender. Calderwood was selected principally on the strength of its stated capability to meet the 410 bar tolerance and to deliver to our forecast schedule. We entered into the Supply Agreement on 14 March 2023 (RC1, pages 1 to 26).</w:t>
      </w:r>
    </w:p>
    <w:p>
      <w:pPr>
        <w:pStyle w:val="ListParagraph"/>
        <w:numPr>
          <w:ilvl w:val="0"/>
          <w:numId w:val="2"/>
        </w:numPr>
        <w:spacing w:after="140"/>
        <w:jc w:val="both"/>
      </w:pPr>
      <w:r>
        <w:t xml:space="preserve">For approximately the first fifteen months of the contract, Calderwood’s performance was broadly acceptable. From around August 2024, however, we began to receive assemblies that failed our incoming pressure tests. Our quality team recorded that assemblies from batch B-2408 onwards could not sustain 410 bar and showed premature seal failure under load. I exhibit the relevant quality test reports at RC1, pages 27 to 54.</w:t>
      </w:r>
    </w:p>
    <w:p>
      <w:pPr>
        <w:pStyle w:val="ListParagraph"/>
        <w:numPr>
          <w:ilvl w:val="0"/>
          <w:numId w:val="2"/>
        </w:numPr>
        <w:spacing w:after="140"/>
        <w:jc w:val="both"/>
      </w:pPr>
      <w:r>
        <w:t xml:space="preserve">I personally raised these failures with Mr Gerald Doyle, Calderwood’s Managing Director, by email on 21 August 2024, and again on 9 September and 3 October 2024 (RC1, pages 55 to 63). I made clear in that correspondence that the assemblies did not meet the 410 bar warranty and asked Calderwood to investigate and to repair or replace them. Mr Doyle’s responses were limited; the underlying problems were acknowledged in part but never resolved.</w:t>
      </w:r>
    </w:p>
    <w:p>
      <w:pPr>
        <w:pStyle w:val="ListParagraph"/>
        <w:numPr>
          <w:ilvl w:val="0"/>
          <w:numId w:val="2"/>
        </w:numPr>
        <w:spacing w:after="140"/>
        <w:jc w:val="both"/>
      </w:pPr>
      <w:r>
        <w:t xml:space="preserve">At the same time, Calderwood’s deliveries became increasingly unreliable. Bracken’s procurement records, which I have reviewed, show that between September 2024 and February 2025 Calderwood was late on 14 of 19 scheduled deliveries and failed entirely to deliver against two call-off orders, CO-2024-188 and CO-2024-201 (RC1, pages 64 to 80). The combined effect of the quality failures and the delivery failures was that our Sheffield line could not maintain its planned output, and we were forced to halt or curtail production on several occasions.</w:t>
      </w:r>
    </w:p>
    <w:p>
      <w:pPr>
        <w:pStyle w:val="ListParagraph"/>
        <w:numPr>
          <w:ilvl w:val="0"/>
          <w:numId w:val="2"/>
        </w:numPr>
        <w:spacing w:after="140"/>
        <w:jc w:val="both"/>
      </w:pPr>
      <w:r>
        <w:t xml:space="preserve">I am aware that Calderwood now alleges that, at a site meeting in July 2024, an oral agreement was reached to relax the pressure tolerance from 410 bar to 380 bar. I can state firmly that no such variation was ever agreed by me or, to my knowledge, by anyone at Bracken with authority to agree it. Our production manager had no authority to vary the Supply Agreement. In any event, the Supply Agreement required any variation to be recorded in writing and signed by both parties (clause 19), and no such written and signed variation exists. Bracken continued to accept deliveries only while it investigated the failures; it never agreed to give up its contractual rights.</w:t>
      </w:r>
    </w:p>
    <w:p>
      <w:pPr>
        <w:pStyle w:val="ListParagraph"/>
        <w:numPr>
          <w:ilvl w:val="0"/>
          <w:numId w:val="2"/>
        </w:numPr>
        <w:spacing w:after="140"/>
        <w:jc w:val="both"/>
      </w:pPr>
      <w:r>
        <w:t xml:space="preserve">Faced with continuing failures, and after taking advice, Bracken terminated the Supply Agreement on 28 February 2025 (RC1, pages 81 to 84). We then sourced replacement assemblies from Marlin Hydraulics Ltd, which was able to meet Specification SP-HPX-440 rev. C. Although Marlin met the specification, its unit price was materially higher than Calderwood’s, and the changeover itself caused further delay. Before placing the replacement order, Bracken’s procurement team obtained and considered quotations from more than one qualified manufacturer; Marlin offered the best price reasonably available for a supplier able to meet our technical and timing requirements.</w:t>
      </w:r>
    </w:p>
    <w:p>
      <w:pPr>
        <w:pStyle w:val="ListParagraph"/>
        <w:numPr>
          <w:ilvl w:val="0"/>
          <w:numId w:val="2"/>
        </w:numPr>
        <w:spacing w:after="140"/>
        <w:jc w:val="both"/>
      </w:pPr>
      <w:r>
        <w:t xml:space="preserve">The additional costs and the lost profit arising from these matters are set out in the Schedule of Loss prepared with Bracken’s finance team, which I have reviewed and believe to be accurate. In summary, Bracken incurred additional cost of cover of £1,450,000, lost profit of £2,100,000 arising from production downtime, and wasted expenditure of £250,000 on inspection, rework and abortive handling, giving a total of £3,800,000 before interest.</w:t>
      </w:r>
    </w:p>
    <w:p>
      <w:pPr>
        <w:pStyle w:val="ListParagraph"/>
        <w:numPr>
          <w:ilvl w:val="0"/>
          <w:numId w:val="2"/>
        </w:numPr>
        <w:spacing w:after="140"/>
        <w:jc w:val="both"/>
      </w:pPr>
      <w:r>
        <w:t xml:space="preserve">I make this statement in support of Bracken’s claim. The matters to which I have referred are, so far as I am able to recall them, set out in my own words and represent my own honest recollection. I have not been asked, in preparing this statement, to include anything that is not my own recollection of the relevant events.</w:t>
      </w:r>
    </w:p>
    <w:p>
      <w:pPr>
        <w:spacing w:after="80" w:before="120"/>
      </w:pPr>
      <w:r>
        <w:rPr>
          <w:b/>
          <w:bCs/>
        </w:rPr>
        <w:t xml:space="preserve">Statement of Truth</w:t>
      </w:r>
    </w:p>
    <w:p>
      <w:pPr>
        <w:spacing w:after="120"/>
        <w:jc w:val="both"/>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20" w:before="160"/>
      </w:pPr>
      <w:r>
        <w:t xml:space="preserve">Signed:  ........................................................</w:t>
      </w:r>
    </w:p>
    <w:p>
      <w:pPr>
        <w:spacing w:after="0"/>
      </w:pPr>
      <w:r>
        <w:rPr>
          <w:b/>
          <w:bCs/>
        </w:rPr>
        <w:t xml:space="preserve">RICHARD CALLOWAY</w:t>
      </w:r>
    </w:p>
    <w:p>
      <w:pPr>
        <w:spacing w:after="0"/>
      </w:pPr>
      <w:r>
        <w:t xml:space="preserve">Dated: 21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First Witness Statement of Richard Calloway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567"/>
      </w:pPr>
    </w:lvl>
  </w:abstractNum>
  <w:abstractNum w:abstractNumId="4"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2026-06-10T20:44:21.709Z</dcterms:created>
  <dcterms:modified xsi:type="dcterms:W3CDTF">2026-06-10T20:44:21.709Z</dcterms:modified>
</cp:coreProperties>
</file>

<file path=docProps/custom.xml><?xml version="1.0" encoding="utf-8"?>
<Properties xmlns="http://schemas.openxmlformats.org/officeDocument/2006/custom-properties" xmlns:vt="http://schemas.openxmlformats.org/officeDocument/2006/docPropsVTypes"/>
</file>