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Date: 7 November 2025</w:t>
      </w:r>
    </w:p>
    <w:p>
      <w:pPr>
        <w:spacing w:after="160"/>
      </w:pPr>
      <w:r>
        <w:rPr>
          <w:b/>
          <w:bCs/>
        </w:rPr>
        <w:t xml:space="preserve">STRICTLY PRIVATE &amp; CONFIDENTIAL — BY EMAIL AND RECORDED DELIVERY</w:t>
      </w:r>
    </w:p>
    <w:p>
      <w:pPr>
        <w:spacing w:after="120"/>
      </w:pPr>
      <w:r>
        <w:t xml:space="preserve">The Directors</w:t>
      </w:r>
    </w:p>
    <w:p>
      <w:pPr>
        <w:spacing w:after="120"/>
      </w:pPr>
      <w:r>
        <w:t xml:space="preserve">Marldon Process Systems Limited</w:t>
      </w:r>
    </w:p>
    <w:p>
      <w:pPr>
        <w:spacing w:after="120"/>
      </w:pPr>
      <w:r>
        <w:t xml:space="preserve">Brunton Works, Wedgwood Road</w:t>
      </w:r>
    </w:p>
    <w:p>
      <w:pPr>
        <w:spacing w:after="120"/>
      </w:pPr>
      <w:r>
        <w:t xml:space="preserve">Stoke-on-Trent ST1 5JQ</w:t>
      </w:r>
    </w:p>
    <w:p>
      <w:pPr>
        <w:spacing w:after="120"/>
      </w:pPr>
      <w:r>
        <w:t xml:space="preserve"/>
      </w:r>
    </w:p>
    <w:p>
      <w:pPr>
        <w:spacing w:after="80"/>
      </w:pPr>
      <w:r>
        <w:t xml:space="preserve">Dear Sirs</w:t>
      </w:r>
    </w:p>
    <w:p>
      <w:pPr>
        <w:spacing w:after="160"/>
      </w:pPr>
      <w:r>
        <w:rPr>
          <w:b/>
          <w:bCs/>
        </w:rPr>
        <w:t xml:space="preserve">Letter Before Action — Bespoke Effluent Treatment System (Order BG-PROC-2271): Bracken Group Limited (acting for Bracken Coatings &amp; Surface Technologies Limited)</w:t>
      </w:r>
    </w:p>
    <w:p>
      <w:pPr>
        <w:spacing w:after="120"/>
      </w:pPr>
      <w:r>
        <w:t xml:space="preserve">We act for Bracken Group Limited and its wholly-owned subsidiary Bracken Coatings &amp; Surface Technologies Limited (together “Bracken”), of Foundry Lane, Walsall WS2 9LT. This letter is sent in accordance with the Pre-Action Protocol for Construction and Engineering Disputes and the Practice Direction — Pre-Action Conduct and Protocols. It sets out Bracken’s claim against Marldon Process Systems Limited (“Marldon”) arising out of the design, supply, installation and commissioning of a bespoke industrial effluent treatment system.</w:t>
      </w:r>
    </w:p>
    <w:p>
      <w:pPr>
        <w:pStyle w:val="Heading2"/>
      </w:pPr>
      <w:r>
        <w:t xml:space="preserve">1. The Contract</w:t>
      </w:r>
    </w:p>
    <w:p>
      <w:pPr>
        <w:pStyle w:val="ListParagraph"/>
        <w:numPr>
          <w:ilvl w:val="0"/>
          <w:numId w:val="2"/>
        </w:numPr>
        <w:spacing w:after="120"/>
      </w:pPr>
      <w:r>
        <w:t xml:space="preserve">By a written contract dated 14 March 2024 formed by Bracken’s purchase order BG-PROC-2271 and Marldon’s quotation MQ-4471 (Rev C), incorporating Marldon’s standard terms and conditions of sale dated January 2023, Marldon agreed to design, manufacture, supply, install and commission a turnkey membrane bioreactor (MBR) effluent treatment system rated to 240 m³/day at Bracken’s surface-coating plant at Foundry Lane, Walsall (the “System”).</w:t>
      </w:r>
    </w:p>
    <w:p>
      <w:pPr>
        <w:pStyle w:val="ListParagraph"/>
        <w:numPr>
          <w:ilvl w:val="0"/>
          <w:numId w:val="2"/>
        </w:numPr>
        <w:spacing w:after="120"/>
      </w:pPr>
      <w:r>
        <w:t xml:space="preserve">The contract price was £1,480,000 (exclusive of VAT), payable in stages: 30% on order, 40% on delivery to site, 20% on mechanical completion and 10% on satisfactory completion of a 30-day performance demonstration test. Bracken has paid the first three milestones, totalling £1,332,000.</w:t>
      </w:r>
    </w:p>
    <w:p>
      <w:pPr>
        <w:pStyle w:val="ListParagraph"/>
        <w:numPr>
          <w:ilvl w:val="0"/>
          <w:numId w:val="2"/>
        </w:numPr>
        <w:spacing w:after="120"/>
      </w:pPr>
      <w:r>
        <w:t xml:space="preserve">It was an express term (Clause 7 of MQ-4471 Rev C) that the System would, on completion of the performance demonstration test, achieve a treated-effluent quality of ≤ 20 mg/l chemical oxygen demand (COD) and ≤ 10 mg/l total suspended solids (TSS), and would be capable of continuous operation at the rated throughput. It was further an implied term under section 13 of the Supply of Goods and Services Act 1982 that the System would be fit for the purpose made known to Marldon, namely continuous treatment of metal-finishing process effluent.</w:t>
      </w:r>
    </w:p>
    <w:p>
      <w:pPr>
        <w:pStyle w:val="Heading2"/>
      </w:pPr>
      <w:r>
        <w:t xml:space="preserve">2. What went wrong</w:t>
      </w:r>
    </w:p>
    <w:p>
      <w:pPr>
        <w:pStyle w:val="ListParagraph"/>
        <w:numPr>
          <w:ilvl w:val="0"/>
          <w:numId w:val="2"/>
        </w:numPr>
        <w:spacing w:after="120"/>
      </w:pPr>
      <w:r>
        <w:t xml:space="preserve">The System was delivered to site in September 2024 and the performance demonstration test commenced on 4 November 2024. From the outset the System failed to perform. In particular: (a) the ultrafiltration membrane modules suffered repeated fouling and irrecoverable flux decline; (b) the permeate-side transfer pumps suffered recurrent mechanical-seal failures; and (c) treated-effluent COD readings routinely exceeded 60 mg/l, three times the contractual limit.</w:t>
      </w:r>
    </w:p>
    <w:p>
      <w:pPr>
        <w:pStyle w:val="ListParagraph"/>
        <w:numPr>
          <w:ilvl w:val="0"/>
          <w:numId w:val="2"/>
        </w:numPr>
        <w:spacing w:after="120"/>
      </w:pPr>
      <w:r>
        <w:t xml:space="preserve">Between November 2024 and August 2025 the System failed on no fewer than eleven occasions, each failure requiring the coating lines to be shut down because Bracken’s discharge consent does not permit untreated effluent to enter the foul sewer. Marldon attended site on six occasions and replaced membrane modules and pump seals but did not cure the underlying defects.</w:t>
      </w:r>
    </w:p>
    <w:p>
      <w:pPr>
        <w:pStyle w:val="ListParagraph"/>
        <w:numPr>
          <w:ilvl w:val="0"/>
          <w:numId w:val="2"/>
        </w:numPr>
        <w:spacing w:after="120"/>
      </w:pPr>
      <w:r>
        <w:t xml:space="preserve">Bracken’s own investigation, and the preliminary findings of an independent process engineer instructed by Bracken, indicate that the membrane modules specified by Marldon were materially undersized for the organic loading of Bracken’s effluent, and that the permeate pumps were of an incompatible elastomer specification. These are matters of design and specification for which Marldon was wholly responsible.</w:t>
      </w:r>
    </w:p>
    <w:p>
      <w:pPr>
        <w:pStyle w:val="Heading2"/>
      </w:pPr>
      <w:r>
        <w:t xml:space="preserve">3. Bracken’s losses</w:t>
      </w:r>
    </w:p>
    <w:p>
      <w:pPr>
        <w:spacing w:after="120"/>
      </w:pPr>
      <w:r>
        <w:t xml:space="preserve">Bracken’s losses, particularised in the enclosed draft Schedule of Loss, currently total approximately </w:t>
      </w:r>
      <w:r>
        <w:rPr>
          <w:b/>
          <w:bCs/>
        </w:rPr>
        <w:t xml:space="preserve">£2,165,000</w:t>
      </w:r>
      <w:r>
        <w:t xml:space="preserve">, comprising remedial works to the System (£642,000), the cost of procuring and installing a replacement treatment system from an alternative supplier (£915,000), lost production during line shutdowns (£558,000) and investigation costs (£50,000). Bracken reserves the right to claim the unpaid value of works it has had to undertake and further losses as they crystallise.</w:t>
      </w:r>
    </w:p>
    <w:p>
      <w:pPr>
        <w:pStyle w:val="Heading2"/>
      </w:pPr>
      <w:r>
        <w:t xml:space="preserve">4. The claim</w:t>
      </w:r>
    </w:p>
    <w:p>
      <w:pPr>
        <w:pStyle w:val="ListParagraph"/>
        <w:numPr>
          <w:ilvl w:val="0"/>
          <w:numId w:val="2"/>
        </w:numPr>
        <w:spacing w:after="120"/>
      </w:pPr>
      <w:r>
        <w:t xml:space="preserve">Bracken claims damages for (a) breach of the express performance terms; (b) breach of the implied terms as to fitness for purpose and satisfactory quality; and (c) negligent design. Bracken is entitled to treat Marldon’s failures as a repudiatory breach and to recover the cost of obtaining a substitute System, together with its wasted expenditure and consequential losses.</w:t>
      </w:r>
    </w:p>
    <w:p>
      <w:pPr>
        <w:pStyle w:val="Heading2"/>
      </w:pPr>
      <w:r>
        <w:t xml:space="preserve">5. Documents and what we require</w:t>
      </w:r>
    </w:p>
    <w:p>
      <w:pPr>
        <w:spacing w:after="120"/>
      </w:pPr>
      <w:r>
        <w:t xml:space="preserve">Enclosed are copies of the purchase order, Marldon’s quotation Rev C, the commissioning logs and Bracken’s site failure register. In accordance with the Protocol we require: (i) Marldon’s letter of response within 28 days; (ii) the design calculations, membrane sizing basis and pump datasheets relied upon; and (iii) Marldon’s proposals for resolving the dispute, including its position on ADR.</w:t>
      </w:r>
    </w:p>
    <w:p>
      <w:pPr>
        <w:spacing w:after="200"/>
      </w:pPr>
      <w:r>
        <w:t xml:space="preserve">We look forward to hearing from you, or from solicitors instructed on Marldon’s behalf, within 28 days. This letter is sent without prejudice to Bracken’s right to commence proceedings without further notice should the System fail catastrophically or should limitation considerations require.</w:t>
      </w:r>
    </w:p>
    <w:p>
      <w:pPr>
        <w:spacing w:after="120"/>
      </w:pPr>
      <w:r>
        <w:t xml:space="preserve">Yours faithfully</w:t>
      </w:r>
    </w:p>
    <w:p>
      <w:pPr>
        <w:spacing w:after="80"/>
      </w:pPr>
      <w:r>
        <w:t xml:space="preserve"/>
      </w:r>
    </w:p>
    <w:p>
      <w:pPr>
        <w:spacing w:after="120"/>
      </w:pPr>
      <w:r>
        <w:rPr>
          <w:b/>
          <w:bCs/>
        </w:rPr>
        <w:t xml:space="preserve">Whitfield Carter LLP</w:t>
      </w:r>
    </w:p>
    <w:p>
      <w:pPr>
        <w:spacing w:after="120"/>
      </w:pPr>
      <w:r>
        <w:t xml:space="preserve">Solicitors for Bracken Group Limited</w:t>
      </w:r>
    </w:p>
    <w:p>
      <w:pPr>
        <w:spacing w:after="120"/>
      </w:pPr>
      <w:r>
        <w:t xml:space="preserve">Direct: +44 (0)20 7946 1188   Ref: SW/TG/BRK-2271</w:t>
      </w:r>
    </w:p>
    <w:p>
      <w:pPr>
        <w:spacing w:after="80"/>
      </w:pPr>
      <w:r>
        <w:t xml:space="preserve"/>
      </w:r>
    </w:p>
    <w:p>
      <w:pPr>
        <w:spacing w:after="120"/>
      </w:pPr>
      <w:r>
        <w:t xml:space="preserve">Enc: Schedule of Loss (draft); PO BG-PROC-2271; Quotation MQ-4471 Rev C; Commissioning logs; Site failure register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20" w:before="0"/>
    </w:pPr>
  </w:p>
  <w:p>
    <w:pPr>
      <w:tabs>
        <w:tab w:val="right" w:pos="9026"/>
      </w:tabs>
    </w:pPr>
    <w:r>
      <w:rPr>
        <w:color w:val="808080"/>
        <w:sz w:val="14"/>
        <w:szCs w:val="14"/>
      </w:rPr>
      <w:t xml:space="preserve">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spacing w:after="40"/>
      <w:jc w:val="right"/>
    </w:pPr>
    <w:r>
      <w:rPr>
        <w:color w:val="595959"/>
        <w:sz w:val="16"/>
        <w:szCs w:val="16"/>
      </w:rPr>
      <w:t xml:space="preserve">22 Bishopsgate, London EC2N 4BQ</w:t>
    </w:r>
  </w:p>
  <w:p>
    <w:pPr>
      <w:pBdr>
        <w:bottom w:val="single" w:color="1F3864"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2026-06-29T12:21:05.052Z</dcterms:created>
  <dcterms:modified xsi:type="dcterms:W3CDTF">2026-06-29T12:21:05.052Z</dcterms:modified>
</cp:coreProperties>
</file>

<file path=docProps/custom.xml><?xml version="1.0" encoding="utf-8"?>
<Properties xmlns="http://schemas.openxmlformats.org/officeDocument/2006/custom-properties" xmlns:vt="http://schemas.openxmlformats.org/officeDocument/2006/docPropsVTypes"/>
</file>