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rPr>
        <w:t xml:space="preserve">IN THE HIGH COURT OF JUSTICE</w:t>
      </w:r>
    </w:p>
    <w:p>
      <w:pPr>
        <w:spacing w:after="20"/>
        <w:jc w:val="center"/>
      </w:pPr>
      <w:r>
        <w:rPr>
          <w:b/>
          <w:bCs/>
        </w:rPr>
        <w:t xml:space="preserve">BUSINESS AND PROPERTY COURTS — TECHNOLOGY AND CONSTRUCTION COURT (KBD)</w:t>
      </w:r>
    </w:p>
    <w:p>
      <w:pPr>
        <w:spacing w:after="80"/>
        <w:jc w:val="right"/>
      </w:pPr>
      <w:r>
        <w:t xml:space="preserve">Claim No. HT-2026-000214</w:t>
      </w:r>
    </w:p>
    <w:p>
      <w:pPr>
        <w:spacing w:after="40"/>
        <w:jc w:val="center"/>
      </w:pPr>
      <w:r>
        <w:rPr>
          <w:b/>
          <w:bCs/>
        </w:rPr>
        <w:t xml:space="preserve">BRACKEN COATINGS &amp; SURFACE TECHNOLOGIES LIMITED (Claimant) -and- MARLDON PROCESS SYSTEMS LIMITED (Defendant)</w:t>
      </w:r>
    </w:p>
    <w:p>
      <w:pPr>
        <w:spacing w:after="160"/>
        <w:jc w:val="center"/>
      </w:pPr>
      <w:r>
        <w:rPr>
          <w:b/>
          <w:bCs/>
        </w:rPr>
        <w:t xml:space="preserve">REPLY</w:t>
      </w:r>
    </w:p>
    <w:p>
      <w:pPr>
        <w:pStyle w:val="ListParagraph"/>
        <w:numPr>
          <w:ilvl w:val="0"/>
          <w:numId w:val="2"/>
        </w:numPr>
        <w:spacing w:after="120"/>
      </w:pPr>
      <w:r>
        <w:t xml:space="preserve">Save where expressly admitted, the Claimant joins issue with the Defendant on its Defence and repeats the Particulars of Claim.</w:t>
      </w:r>
    </w:p>
    <w:p>
      <w:pPr>
        <w:pStyle w:val="ListParagraph"/>
        <w:numPr>
          <w:ilvl w:val="0"/>
          <w:numId w:val="2"/>
        </w:numPr>
        <w:spacing w:after="120"/>
      </w:pPr>
      <w:r>
        <w:t xml:space="preserve">As to paragraph 8 of the Defence, it is denied that the System’s failures were caused or contributed to by the Claimant’s operating conditions. The feedstock chemistry and organic loading at the plant were disclosed to the Defendant in the enquiry data pack issued on 9 January 2024 and were expressly relied upon by the Defendant in sizing the System. The Defendant cannot now seek to disclaim responsibility for a design it produced on the basis of that very data.</w:t>
      </w:r>
    </w:p>
    <w:p>
      <w:pPr>
        <w:pStyle w:val="ListParagraph"/>
        <w:numPr>
          <w:ilvl w:val="0"/>
          <w:numId w:val="2"/>
        </w:numPr>
        <w:spacing w:after="120"/>
      </w:pPr>
      <w:r>
        <w:t xml:space="preserve">As to paragraph 11 of the Defence (limitation and exclusion of liability under the Defendant’s standard terms), the Claimant will contend that: (a) the relevant exclusion clause does not on its true construction exclude liability for defective design of a bespoke system; and (b) in any event the clause does not satisfy the requirement of reasonableness under the Unfair Contract Terms Act 1977 and is of no effect.</w:t>
      </w:r>
    </w:p>
    <w:p>
      <w:pPr>
        <w:pStyle w:val="ListParagraph"/>
        <w:numPr>
          <w:ilvl w:val="0"/>
          <w:numId w:val="2"/>
        </w:numPr>
        <w:spacing w:after="120"/>
      </w:pPr>
      <w:r>
        <w:t xml:space="preserve">As to paragraph 14 of the Defence, the Claimant denies that its loss of production claim is too remote. The Defendant knew, by reason of the matters set out in the enquiry data pack and the site survey of 22 January 2024, that failure of the System would require the coating lines to be shut down and would cause loss of production. Such loss was within the reasonable contemplation of the parties.</w:t>
      </w:r>
    </w:p>
    <w:p>
      <w:pPr>
        <w:pStyle w:val="ListParagraph"/>
        <w:numPr>
          <w:ilvl w:val="0"/>
          <w:numId w:val="2"/>
        </w:numPr>
        <w:spacing w:after="120"/>
      </w:pPr>
      <w:r>
        <w:t xml:space="preserve">Save as expressly admitted, each and every allegation in the Defence is denied as if set out and traversed seriatim.</w:t>
      </w:r>
    </w:p>
    <w:p>
      <w:pPr>
        <w:spacing w:after="120"/>
      </w:pPr>
      <w:r>
        <w:t xml:space="preserve"/>
      </w:r>
    </w:p>
    <w:p>
      <w:pPr>
        <w:spacing w:after="120"/>
        <w:jc w:val="right"/>
      </w:pPr>
      <w:r>
        <w:rPr>
          <w:b/>
          <w:bCs/>
        </w:rPr>
        <w:t xml:space="preserve">HARRIET STANFORD</w:t>
      </w:r>
    </w:p>
    <w:p>
      <w:pPr>
        <w:spacing w:after="120"/>
        <w:jc w:val="right"/>
      </w:pPr>
      <w:r>
        <w:t xml:space="preserve">Eldon Chambers</w:t>
      </w:r>
    </w:p>
    <w:p>
      <w:pPr>
        <w:spacing w:after="40"/>
      </w:pPr>
      <w:r>
        <w:rPr>
          <w:b/>
          <w:bCs/>
        </w:rPr>
        <w:t xml:space="preserve">Statement of Truth</w:t>
      </w:r>
    </w:p>
    <w:p>
      <w:pPr>
        <w:spacing w:after="120"/>
      </w:pPr>
      <w:r>
        <w:t xml:space="preserve">The Claimant believes that the facts stated in this Reply are true. Signed: Richard Calloway, Group General Counsel. Dated: 22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after="20" w:before="0"/>
    </w:pPr>
  </w:p>
  <w:p>
    <w:pPr>
      <w:tabs>
        <w:tab w:val="right" w:pos="9026"/>
      </w:tabs>
    </w:pPr>
    <w:r>
      <w:rPr>
        <w:color w:val="808080"/>
        <w:sz w:val="14"/>
        <w:szCs w:val="14"/>
      </w:rPr>
      <w:t xml:space="preserve">Reply</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2026-06-29T12:21:05.125Z</dcterms:created>
  <dcterms:modified xsi:type="dcterms:W3CDTF">2026-06-29T12:21:05.125Z</dcterms:modified>
</cp:coreProperties>
</file>

<file path=docProps/custom.xml><?xml version="1.0" encoding="utf-8"?>
<Properties xmlns="http://schemas.openxmlformats.org/officeDocument/2006/custom-properties" xmlns:vt="http://schemas.openxmlformats.org/officeDocument/2006/docPropsVTypes"/>
</file>