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rPr>
        <w:t xml:space="preserve">WITHOUT PREJUDICE SAVE AS TO COSTS</w:t>
      </w:r>
    </w:p>
    <w:p>
      <w:pPr>
        <w:spacing w:after="40"/>
      </w:pPr>
      <w:r>
        <w:t xml:space="preserve">File note / internal memorandum</w:t>
      </w:r>
    </w:p>
    <w:p>
      <w:pPr>
        <w:spacing w:after="20"/>
      </w:pPr>
      <w:r>
        <w:t xml:space="preserve">Matter: Bracken v Marldon (WC-00175 / HT-2026-000214)</w:t>
      </w:r>
    </w:p>
    <w:p>
      <w:pPr>
        <w:spacing w:after="160"/>
      </w:pPr>
      <w:r>
        <w:t xml:space="preserve">From: Tom Gallagher    To: Sarah Whitfield, Richard Calloway (Bracken)    Date: 11 May 2026</w:t>
      </w:r>
    </w:p>
    <w:p>
      <w:pPr>
        <w:pStyle w:val="Heading2"/>
      </w:pPr>
      <w:r>
        <w:t xml:space="preserve">1. The offer received</w:t>
      </w:r>
    </w:p>
    <w:p>
      <w:pPr>
        <w:spacing w:after="120"/>
      </w:pPr>
      <w:r>
        <w:t xml:space="preserve">On 8 May 2026 the Defendant, through its solicitors Thackeray Wolfe LLP, made a Part 36 offer to settle the whole of the claim for the sum of £450,000, inclusive of interest, with the Defendant to pay the Claimant’s costs to the date of acceptance. The relevant period for acceptance is 21 days, expiring on 29 May 2026.</w:t>
      </w:r>
    </w:p>
    <w:p>
      <w:pPr>
        <w:pStyle w:val="Heading2"/>
      </w:pPr>
      <w:r>
        <w:t xml:space="preserve">2. Assessment</w:t>
      </w:r>
    </w:p>
    <w:p>
      <w:pPr>
        <w:spacing w:after="120"/>
      </w:pPr>
      <w:r>
        <w:t xml:space="preserve">The offer represents approximately 21% of the pleaded claim of £2,165,000. In counsel’s view (see the merits and quantum advice of 30 April 2026), the Claimant’s prospects on liability are good (assessed at 70–75%), the principal litigation risk being the construction and reasonableness of the Defendant’s exclusion clause and the remoteness of the loss-of-production claim. Counsel assesses the realistic recoverable quantum, after litigation risk, at £1.45m–£1.65m. The £450,000 offer is therefore materially below the range Bracken could expect to recover at trial and should not be accepted.</w:t>
      </w:r>
    </w:p>
    <w:p>
      <w:pPr>
        <w:pStyle w:val="Heading2"/>
      </w:pPr>
      <w:r>
        <w:t xml:space="preserve">3. Recommendation</w:t>
      </w:r>
    </w:p>
    <w:p>
      <w:pPr>
        <w:spacing w:after="120"/>
      </w:pPr>
      <w:r>
        <w:t xml:space="preserve">We recommend that Bracken reject the offer and make its own Part 36 offer in the region of £1,650,000 plus costs, which would place the Defendant under significant costs pressure and protect Bracken’s position on indemnity costs and enhanced interest should the matter proceed to trial and Bracken beat its own offer. We will prepare a draft Part 36 offer for your approval.</w:t>
      </w:r>
    </w:p>
    <w:p>
      <w:pPr>
        <w:spacing w:after="120"/>
      </w:pPr>
      <w:r>
        <w:t xml:space="preserve">This note is privileged and prepared for the purpose of giving legal advice.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spacing w:after="20" w:before="0"/>
    </w:pPr>
  </w:p>
  <w:p>
    <w:pPr>
      <w:tabs>
        <w:tab w:val="right" w:pos="9026"/>
      </w:tabs>
    </w:pPr>
    <w:r>
      <w:rPr>
        <w:color w:val="808080"/>
        <w:sz w:val="14"/>
        <w:szCs w:val="14"/>
      </w:rPr>
      <w:t xml:space="preserve">Privileged &amp; confidential — without prejudice save as to costs</w:t>
    </w:r>
    <w:r>
      <w:rPr>
        <w:color w:val="808080"/>
        <w:sz w:val="14"/>
        <w:szCs w:val="14"/>
      </w:rPr>
      <w:t xml:space="preserve">	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b/>
        <w:bCs/>
        <w:color w:val="1F3864"/>
        <w:sz w:val="24"/>
        <w:szCs w:val="24"/>
      </w:rPr>
      <w:t xml:space="preserve">Whitfield Carter LLP</w:t>
    </w:r>
  </w:p>
  <w:p>
    <w:pPr>
      <w:spacing w:after="40"/>
      <w:jc w:val="right"/>
    </w:pPr>
    <w:r>
      <w:rPr>
        <w:color w:val="595959"/>
        <w:sz w:val="16"/>
        <w:szCs w:val="16"/>
      </w:rPr>
      <w:t xml:space="preserve">22 Bishopsgate, London EC2N 4BQ</w:t>
    </w:r>
  </w:p>
  <w:p>
    <w:pPr>
      <w:pBdr>
        <w:bottom w:val="single" w:color="1F3864" w:sz="6" w:space="1"/>
      </w:pBd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108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2026-06-29T12:21:05.180Z</dcterms:created>
  <dcterms:modified xsi:type="dcterms:W3CDTF">2026-06-29T12:21:05.180Z</dcterms:modified>
</cp:coreProperties>
</file>

<file path=docProps/custom.xml><?xml version="1.0" encoding="utf-8"?>
<Properties xmlns="http://schemas.openxmlformats.org/officeDocument/2006/custom-properties" xmlns:vt="http://schemas.openxmlformats.org/officeDocument/2006/docPropsVTypes"/>
</file>