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right"/>
      </w:pPr>
      <w:r>
        <w:t xml:space="preserve">Claim No. HT-2026-000214</w:t>
      </w:r>
    </w:p>
    <w:p>
      <w:pPr>
        <w:spacing w:after="80"/>
        <w:jc w:val="right"/>
      </w:pPr>
      <w:r>
        <w:t xml:space="preserve">Claimant’s first witness statement  —  R. Ellis  —  Exhibit “RE1”  —  6 May 2026</w:t>
      </w:r>
    </w:p>
    <w:p>
      <w:pPr>
        <w:spacing w:after="20"/>
        <w:jc w:val="center"/>
      </w:pPr>
      <w:r>
        <w:rPr>
          <w:b/>
          <w:bCs/>
        </w:rPr>
        <w:t xml:space="preserve">IN THE HIGH COURT OF JUSTICE, TECHNOLOGY AND CONSTRUCTION COURT (KBD)</w:t>
      </w:r>
    </w:p>
    <w:p>
      <w:pPr>
        <w:spacing w:after="40"/>
        <w:jc w:val="center"/>
      </w:pPr>
      <w:r>
        <w:rPr>
          <w:b/>
          <w:bCs/>
        </w:rPr>
        <w:t xml:space="preserve">BRACKEN COATINGS &amp; SURFACE TECHNOLOGIES LIMITED (Claimant) -and- MARLDON PROCESS SYSTEMS LIMITED (Defendant)</w:t>
      </w:r>
    </w:p>
    <w:p>
      <w:pPr>
        <w:spacing w:after="160"/>
        <w:jc w:val="center"/>
      </w:pPr>
      <w:r>
        <w:rPr>
          <w:b/>
          <w:bCs/>
        </w:rPr>
        <w:t xml:space="preserve">WITNESS STATEMENT OF ROBERT ELLIS</w:t>
      </w:r>
    </w:p>
    <w:p>
      <w:pPr>
        <w:pStyle w:val="ListParagraph"/>
        <w:numPr>
          <w:ilvl w:val="0"/>
          <w:numId w:val="2"/>
        </w:numPr>
        <w:spacing w:after="120"/>
      </w:pPr>
      <w:r>
        <w:t xml:space="preserve">I am Robert Ellis, Operations Director of Bracken Coatings &amp; Surface Technologies Limited (“Bracken”), of Foundry Lane, Walsall. I have held that position since 2019. I make this statement from my own knowledge and from the company’s records to which I have access. Where matters are not within my own knowledge I identify the source.</w:t>
      </w:r>
    </w:p>
    <w:p>
      <w:pPr>
        <w:pStyle w:val="ListParagraph"/>
        <w:numPr>
          <w:ilvl w:val="0"/>
          <w:numId w:val="2"/>
        </w:numPr>
        <w:spacing w:after="120"/>
      </w:pPr>
      <w:r>
        <w:t xml:space="preserve">I was responsible for the procurement of the new effluent treatment system in 2023–24. Bracken needed to replace its ageing chemical-dosing plant to meet a tightened discharge consent issued by the water utility. We required a system capable of treating up to 240 cubic metres of process effluent per day to a treated quality of no more than 20 mg/l COD.</w:t>
      </w:r>
    </w:p>
    <w:p>
      <w:pPr>
        <w:pStyle w:val="ListParagraph"/>
        <w:numPr>
          <w:ilvl w:val="0"/>
          <w:numId w:val="2"/>
        </w:numPr>
        <w:spacing w:after="120"/>
      </w:pPr>
      <w:r>
        <w:t xml:space="preserve">We approached three suppliers. Marldon Process Systems Limited (“Marldon”) was selected because it offered a turnkey membrane bioreactor solution and represented, in its quotation MQ-4471, that the system would meet our discharge standard with a 24-month performance guarantee. We issued the enquiry data pack to Marldon on 9 January 2024 setting out our effluent chemistry, organic loading and flow profile. Mr Hartley of Marldon attended a site survey on 22 January 2024.</w:t>
      </w:r>
    </w:p>
    <w:p>
      <w:pPr>
        <w:pStyle w:val="ListParagraph"/>
        <w:numPr>
          <w:ilvl w:val="0"/>
          <w:numId w:val="2"/>
        </w:numPr>
        <w:spacing w:after="120"/>
      </w:pPr>
      <w:r>
        <w:t xml:space="preserve">The system was delivered in September 2024 and the 30-day performance demonstration test began on 4 November 2024. It never passed. The treated-effluent COD readings I saw in the commissioning logs were consistently in the range 55 to 80 mg/l, far above the 20 mg/l limit. The membrane modules blinded repeatedly and the permeate pumps kept failing.</w:t>
      </w:r>
    </w:p>
    <w:p>
      <w:pPr>
        <w:pStyle w:val="ListParagraph"/>
        <w:numPr>
          <w:ilvl w:val="0"/>
          <w:numId w:val="2"/>
        </w:numPr>
        <w:spacing w:after="120"/>
      </w:pPr>
      <w:r>
        <w:t xml:space="preserve">Each failure meant we had to shut down the coating lines, because our discharge consent does not allow untreated effluent into the sewer. Between November 2024 and August 2025 I recorded eleven separate failure events in the site failure register exhibited at “RE1”. On the worst occasion, in March 2025, Line 2 was down for nine days.</w:t>
      </w:r>
    </w:p>
    <w:p>
      <w:pPr>
        <w:pStyle w:val="ListParagraph"/>
        <w:numPr>
          <w:ilvl w:val="0"/>
          <w:numId w:val="2"/>
        </w:numPr>
        <w:spacing w:after="120"/>
      </w:pPr>
      <w:r>
        <w:t xml:space="preserve">Marldon attended six times and changed membranes and pump seals, but never fixed the underlying problem. By the summer of 2025 it was clear to me that the system Marldon had designed was simply too small for our effluent and that the pumps were the wrong specification. We could not continue to lose production, so in September 2025 we instructed an alternative supplier, Severnvale Water Technologies, to design and install a replacement system, which has worked correctly since commissioning in January 2026.</w:t>
      </w:r>
    </w:p>
    <w:p>
      <w:pPr>
        <w:pStyle w:val="ListParagraph"/>
        <w:numPr>
          <w:ilvl w:val="0"/>
          <w:numId w:val="2"/>
        </w:numPr>
        <w:spacing w:after="120"/>
      </w:pPr>
      <w:r>
        <w:t xml:space="preserve">The lost production figures in the Schedule of Loss were calculated by our finance team from our line-output records and standard contribution margins, which I have reviewed and believe to be accurate.</w:t>
      </w:r>
    </w:p>
    <w:p>
      <w:pPr>
        <w:spacing w:after="120"/>
      </w:pPr>
      <w:r>
        <w:t xml:space="preserve"/>
      </w:r>
    </w:p>
    <w:p>
      <w:pPr>
        <w:spacing w:after="40"/>
      </w:pPr>
      <w:r>
        <w:rPr>
          <w:b/>
          <w:bCs/>
        </w:rPr>
        <w:t xml:space="preserve">Statement of Truth</w:t>
      </w:r>
    </w:p>
    <w:p>
      <w:pPr>
        <w:spacing w:after="8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120"/>
      </w:pPr>
      <w:r>
        <w:t xml:space="preserve">Signed: …………………   Robert Ellis</w:t>
      </w:r>
    </w:p>
    <w:p>
      <w:pPr>
        <w:spacing w:after="120"/>
      </w:pPr>
      <w:r>
        <w:t xml:space="preserve">Dated: 6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after="20" w:before="0"/>
    </w:pPr>
  </w:p>
  <w:p>
    <w:pPr>
      <w:tabs>
        <w:tab w:val="right" w:pos="9026"/>
      </w:tabs>
    </w:pPr>
    <w:r>
      <w:rPr>
        <w:color w:val="808080"/>
        <w:sz w:val="14"/>
        <w:szCs w:val="14"/>
      </w:rPr>
      <w:t xml:space="preserve">Witness Statement — R Ellis</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2026-06-29T12:21:05.140Z</dcterms:created>
  <dcterms:modified xsi:type="dcterms:W3CDTF">2026-06-29T12:21:05.140Z</dcterms:modified>
</cp:coreProperties>
</file>

<file path=docProps/custom.xml><?xml version="1.0" encoding="utf-8"?>
<Properties xmlns="http://schemas.openxmlformats.org/officeDocument/2006/custom-properties" xmlns:vt="http://schemas.openxmlformats.org/officeDocument/2006/docPropsVTypes"/>
</file>