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rPr>
          <w:b/>
          <w:bCs/>
        </w:rPr>
        <w:t xml:space="preserve">LEGALLY PRIVILEGED AND CONFIDENTIAL</w:t>
      </w:r>
    </w:p>
    <w:p>
      <w:pPr>
        <w:spacing w:after="120"/>
        <w:jc w:val="center"/>
      </w:pPr>
      <w:r>
        <w:rPr>
          <w:b/>
          <w:bCs/>
          <w:sz w:val="28"/>
          <w:szCs w:val="28"/>
        </w:rPr>
        <w:t xml:space="preserve">ADVICE NOTE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To</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Richard Calloway, General Counsel; Karen Mensah, Group HR Director (Bracken Group plc)</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From</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Sarah Whitfield / Tom Gallagher, Whitfield Carter LLP</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Date</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23 January 2026</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Matter</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WC-00130 – Proposed exit of G. Hartnell (Group Operations Director)</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sz w:val="20"/>
                <w:szCs w:val="20"/>
              </w:rPr>
              <w:t xml:space="preserve">Subject</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Risk assessment, settlement strategy and recommended financial parameters</w:t>
            </w:r>
          </w:p>
        </w:tc>
      </w:tr>
    </w:tbl>
    <w:p>
      <w:pPr>
        <w:spacing w:after="120" w:line="276"/>
      </w:pPr>
      <w:r>
        <w:t xml:space="preserve"/>
      </w:r>
    </w:p>
    <w:p>
      <w:pPr>
        <w:pStyle w:val="Heading1"/>
      </w:pPr>
      <w:r>
        <w:t xml:space="preserve">1.  Executive summary</w:t>
      </w:r>
    </w:p>
    <w:p>
      <w:pPr>
        <w:spacing w:after="120" w:line="276"/>
      </w:pPr>
      <w:r>
        <w:t xml:space="preserve">This note assesses the Company's exposure in respect of the proposed termination of Mr Hartnell's employment and recommends a negotiating strategy. In short, while a fair redundancy or reorganisation dismissal is achievable on these facts, the combination of (a) Mr Hartnell's three written health-and-safety memoranda, which are capable of amounting to protected disclosures under section 43B of the Employment Rights Act 1996, and (b) his age (58) and seniority, materially elevates the litigation risk. An automatically unfair dismissal claim under section 103A carries no statutory cap on the compensatory award, and an age discrimination claim under the Equality Act 2010 likewise carries uncapped compensation plus an award for injury to feelings. We recommend opening a protected conversation under section 111A and seeking to conclude a settlement agreement. Our recommended financial envelope is set out at section 6.</w:t>
      </w:r>
    </w:p>
    <w:p>
      <w:pPr>
        <w:pStyle w:val="Heading1"/>
      </w:pPr>
      <w:r>
        <w:t xml:space="preserve">2.  Background facts</w:t>
      </w:r>
    </w:p>
    <w:p>
      <w:pPr>
        <w:spacing w:after="120" w:line="276"/>
      </w:pPr>
      <w:r>
        <w:t xml:space="preserve">Mr Hartnell has been continuously employed since 2 March 2009 (approximately 16 complete years' service) and is presently Group Operations Director on a gross annual salary of £142,000, with a car allowance of £11,400 per annum, private medical cover, life assurance and membership of the Company's defined-contribution pension scheme (employer contribution 10% of base salary). His contract provides for a notice period of twelve months on either side and contains post-termination restrictive covenants (non-compete and non-solicitation) of nine months.</w:t>
      </w:r>
    </w:p>
    <w:p>
      <w:pPr>
        <w:spacing w:after="120" w:line="276"/>
      </w:pPr>
      <w:r>
        <w:t xml:space="preserve">Between July and November 2025 Mr Hartnell raised three written concerns regarding manual-handling and load-securing arrangements at the Coleshill and Wakefield sites following the Helix integration. On 19 December 2025 he was told that his role was under review and that a substantially similar Chief Operating Officer role would be advertised externally. He presented a formal grievance on 9 January 2026 alleging detriment for having made protected disclosures and age discrimination.</w:t>
      </w:r>
    </w:p>
    <w:p>
      <w:pPr>
        <w:pStyle w:val="Heading1"/>
      </w:pPr>
      <w:r>
        <w:t xml:space="preserve">3.  Legal analysis</w:t>
      </w:r>
    </w:p>
    <w:p>
      <w:pPr>
        <w:pStyle w:val="Heading2"/>
      </w:pPr>
      <w:r>
        <w:t xml:space="preserve">3.1  Ordinary unfair dismissal (s.98 ERA 1996)</w:t>
      </w:r>
    </w:p>
    <w:p>
      <w:pPr>
        <w:spacing w:after="120" w:line="276"/>
      </w:pPr>
      <w:r>
        <w:t xml:space="preserve">If the Company proceeds to dismiss on the ground of redundancy or business reorganisation (“some other substantial reason”), the dismissal will be fair only if the Company can show a genuine redundancy or reorganisation, a fair pool and selection process, meaningful consultation, and a genuine search for suitable alternative employment. The principal evidential difficulty is that the proposed COO role is, on Mr Hartnell's account, materially identical to his current role; if that is established, a Tribunal is likely to find that there was no genuine redundancy and that the dismissal was a sham. The basic award and compensatory award (capped at the lower of 52 weeks' gross pay or the statutory maximum, currently £115,115) would follow.</w:t>
      </w:r>
    </w:p>
    <w:p>
      <w:pPr>
        <w:pStyle w:val="Heading2"/>
      </w:pPr>
      <w:r>
        <w:t xml:space="preserve">3.2  Automatic unfair dismissal – protected disclosures (s.103A ERA 1996)</w:t>
      </w:r>
    </w:p>
    <w:p>
      <w:pPr>
        <w:spacing w:after="120" w:line="276"/>
      </w:pPr>
      <w:r>
        <w:t xml:space="preserve">This is the principal risk. Mr Hartnell's memoranda of 14 July, 2 September and 6 November 2025 each disclose information which, in his reasonable belief, tends to show that the health and safety of individuals is being, or is likely to be, endangered (section 43B(1)(d)). If the Tribunal finds that the making of those disclosures was the reason, or principal reason, for the dismissal, the dismissal is automatically unfair, the two-year qualifying period does not apply, and – critically – the statutory cap on the compensatory award is disapplied. Compensation would be assessed by reference to actual and projected loss, which given Mr Hartnell's age and the specialised nature of his role could be substantial.</w:t>
      </w:r>
    </w:p>
    <w:p>
      <w:pPr>
        <w:pStyle w:val="Heading2"/>
      </w:pPr>
      <w:r>
        <w:t xml:space="preserve">3.3  Detriment for protected disclosures (s.47B ERA 1996)</w:t>
      </w:r>
    </w:p>
    <w:p>
      <w:pPr>
        <w:spacing w:after="120" w:line="276"/>
      </w:pPr>
      <w:r>
        <w:t xml:space="preserve">Separately from dismissal, the decision to place Mr Hartnell's role “under review” and to require him to re-apply may constitute a detriment done on the ground that he made protected disclosures. Such a claim attracts compensation including for injury to feelings on the Vento bands.</w:t>
      </w:r>
    </w:p>
    <w:p>
      <w:pPr>
        <w:pStyle w:val="Heading2"/>
      </w:pPr>
      <w:r>
        <w:t xml:space="preserve">3.4  Age discrimination (Equality Act 2010)</w:t>
      </w:r>
    </w:p>
    <w:p>
      <w:pPr>
        <w:spacing w:after="120" w:line="276"/>
      </w:pPr>
      <w:r>
        <w:t xml:space="preserve">The external advertising of a substantially identical role, coupled with references to “refreshing” the leadership, could support an inference of direct age discrimination. If the claimant establishes facts from which discrimination could be inferred, the burden shifts to the Company to show a non-discriminatory explanation. Compensation is uncapped and includes injury to feelings; on these facts a middle-Vento-band award (£11,700 to £35,200) would be realistic, with an uplift for aggravated features unlikely.</w:t>
      </w:r>
    </w:p>
    <w:p>
      <w:pPr>
        <w:pStyle w:val="Heading2"/>
      </w:pPr>
      <w:r>
        <w:t xml:space="preserve">3.5  ACAS uplift</w:t>
      </w:r>
    </w:p>
    <w:p>
      <w:pPr>
        <w:spacing w:after="120" w:line="276"/>
      </w:pPr>
      <w:r>
        <w:t xml:space="preserve">A failure to follow the ACAS Code of Practice on Disciplinary and Grievance Procedures – in particular a failure to investigate the grievance properly – could lead to an uplift of up to 25% on compensation. We should ensure the grievance is heard before any dismissal decision is taken, to preserve the Company's position.</w:t>
      </w:r>
    </w:p>
    <w:p>
      <w:pPr>
        <w:pStyle w:val="Heading1"/>
      </w:pPr>
      <w:r>
        <w:t xml:space="preserve">4.  Litigation risk and likely outcomes</w:t>
      </w:r>
    </w:p>
    <w:p>
      <w:pPr>
        <w:spacing w:after="120" w:line="276"/>
      </w:pPr>
      <w:r>
        <w:t xml:space="preserve">Taking the claims together, we assess the Company's prospects of successfully defending an unfair dismissal claim at no better than 35–40% if it proceeds with the reorganisation as presently framed. The uncapped nature of the section 103A and Equality Act claims means that a worst-case exposure (extended loss of earnings plus injury to feelings plus uplift) could reach £280,000–£320,000, before irrecoverable legal costs of a five-day hearing estimated at £85,000–£120,000 and significant management time and reputational exposure.</w:t>
      </w:r>
    </w:p>
    <w:p>
      <w:pPr>
        <w:pStyle w:val="Heading1"/>
      </w:pPr>
      <w:r>
        <w:t xml:space="preserve">5.  Schedule of loss (claimant's likely case)</w:t>
      </w:r>
    </w:p>
    <w:p>
      <w:pPr>
        <w:spacing w:after="120" w:line="276"/>
      </w:pPr>
      <w:r>
        <w:t xml:space="preserve">On the claimant's best case, the schedule of loss would comprise: a basic award; net loss of earnings for a realistic mitigation period of 12 months; loss of car allowance, pension and benefits; loss of statutory rights; injury to feelings; and an ACAS uplift. We estimate the claimant's pleaded schedule at approximately £184,000 (basic award, twelve months' net loss, car allowance, pension, benefits, injury to feelings and a 15% ACAS uplift), of which a realistic Tribunal award (discounted for litigation risk and mitigation) would be in the region of £140,000–£190,000; on a worst case, with an extended mitigation period and a higher uplift, exposure on the uncapped heads could reach £280,000–£320,000.</w:t>
      </w:r>
    </w:p>
    <w:p>
      <w:pPr>
        <w:pStyle w:val="Heading1"/>
      </w:pPr>
      <w:r>
        <w:t xml:space="preserve">6.  Recommended settlement strategy and parameters</w:t>
      </w:r>
    </w:p>
    <w:p>
      <w:pPr>
        <w:spacing w:after="120" w:line="276"/>
      </w:pPr>
      <w:r>
        <w:t xml:space="preserve">We recommend that the Company: (a) hear the grievance promptly and on its merits; (b) open a protected conversation under section 111A; and (c) offer a settlement agreement on commercial terms. Our recommended financial envelope is:</w:t>
      </w:r>
    </w:p>
    <w:p>
      <w:pPr>
        <w:pStyle w:val="ListParagraph"/>
        <w:numPr>
          <w:ilvl w:val="0"/>
          <w:numId w:val="2"/>
        </w:numPr>
        <w:spacing w:after="80" w:line="276"/>
      </w:pPr>
      <w:r>
        <w:t xml:space="preserve">Opening offer: £180,000 (inclusive of the £30,000 tax-free element under sections 401–403 ITEPA 2003, with the balance subject to deductions), plus a contribution to legal fees of £1,250 plus VAT.</w:t>
      </w:r>
    </w:p>
    <w:p>
      <w:pPr>
        <w:pStyle w:val="ListParagraph"/>
        <w:numPr>
          <w:ilvl w:val="0"/>
          <w:numId w:val="2"/>
        </w:numPr>
        <w:spacing w:after="80" w:line="276"/>
      </w:pPr>
      <w:r>
        <w:t xml:space="preserve">Target settlement: £230,000 to £250,000 inclusive.</w:t>
      </w:r>
    </w:p>
    <w:p>
      <w:pPr>
        <w:pStyle w:val="ListParagraph"/>
        <w:numPr>
          <w:ilvl w:val="0"/>
          <w:numId w:val="2"/>
        </w:numPr>
        <w:spacing w:after="80" w:line="276"/>
      </w:pPr>
      <w:r>
        <w:t xml:space="preserve">Walk-away / authority ceiling: £265,000 inclusive, beyond which instructions should be taken from the Board.</w:t>
      </w:r>
    </w:p>
    <w:p>
      <w:pPr>
        <w:spacing w:after="120" w:line="276"/>
      </w:pPr>
      <w:r>
        <w:t xml:space="preserve">A negotiated settlement at the target level is materially below the Company's worst-case litigation exposure and removes the reputational and management-time costs of a contested hearing. We recommend that any agreement include full and final settlement of all claims, an agreed reference, mutual confidentiality and non-derogatory undertakings, and a reaffirmation (with a modest reduction) of the post-termination restrictive covenants.</w:t>
      </w:r>
    </w:p>
    <w:p>
      <w:pPr>
        <w:spacing w:after="120" w:line="276"/>
      </w:pPr>
      <w:r>
        <w:t xml:space="preserve"/>
      </w:r>
    </w:p>
    <w:p>
      <w:pPr>
        <w:spacing w:after="120" w:line="276"/>
      </w:pPr>
      <w:r>
        <w:rPr>
          <w:b/>
          <w:bCs/>
        </w:rPr>
        <w:t xml:space="preserve">Sarah Whitfield</w:t>
      </w:r>
      <w:r>
        <w:t xml:space="preserve">  |  Partner</w:t>
      </w:r>
    </w:p>
    <w:p>
      <w:pPr>
        <w:spacing w:after="120" w:line="276"/>
      </w:pPr>
      <w:r>
        <w:rPr>
          <w:b/>
          <w:bCs/>
        </w:rPr>
        <w:t xml:space="preserve">Tom Gallagher</w:t>
      </w:r>
      <w:r>
        <w:t xml:space="preserve">  |  Associate</w:t>
      </w:r>
    </w:p>
    <w:p>
      <w:pPr>
        <w:spacing w:after="120" w:line="276"/>
      </w:pPr>
      <w:r>
        <w:t xml:space="preserve">Whitfield Carter LLP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spacing w:before="60"/>
    </w:pPr>
    <w:r>
      <w:rPr>
        <w:rFonts w:ascii="Arial" w:cs="Arial" w:eastAsia="Arial" w:hAnsi="Arial"/>
        <w:color w:val="808080"/>
        <w:sz w:val="15"/>
        <w:szCs w:val="15"/>
      </w:rPr>
      <w:t xml:space="preserve">WC-00130  ·  Confidential and may be legally privileged.</w:t>
    </w:r>
    <w:r>
      <w:rPr>
        <w:rFonts w:ascii="Arial" w:cs="Arial" w:eastAsia="Arial" w:hAnsi="Arial"/>
        <w:color w:val="808080"/>
        <w:sz w:val="15"/>
        <w:szCs w:val="15"/>
      </w:rPr>
      <w:t xml:space="preserve">	Page </w:t>
    </w:r>
    <w:r>
      <w:rPr>
        <w:rFonts w:ascii="Arial" w:cs="Arial" w:eastAsia="Arial" w:hAnsi="Arial"/>
        <w:color w:val="808080"/>
        <w:sz w:val="15"/>
        <w:szCs w:val="15"/>
      </w:rPr>
      <w:fldChar w:fldCharType="begin"/>
      <w:instrText xml:space="preserve">PAGE</w:instrText>
      <w:fldChar w:fldCharType="separate"/>
      <w:fldChar w:fldCharType="end"/>
    </w:r>
    <w:r>
      <w:rPr>
        <w:rFonts w:ascii="Arial" w:cs="Arial" w:eastAsia="Arial" w:hAnsi="Arial"/>
        <w:color w:val="808080"/>
        <w:sz w:val="15"/>
        <w:szCs w:val="15"/>
      </w:rPr>
      <w:t xml:space="preserve"> of </w:t>
    </w:r>
    <w:r>
      <w:rPr>
        <w:rFonts w:ascii="Arial" w:cs="Arial" w:eastAsia="Arial" w:hAnsi="Arial"/>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rFonts w:ascii="Arial" w:cs="Arial" w:eastAsia="Arial" w:hAnsi="Arial"/>
        <w:b/>
        <w:bCs/>
        <w:color w:val="1F3864"/>
        <w:sz w:val="30"/>
        <w:szCs w:val="30"/>
      </w:rPr>
      <w:t xml:space="preserve">Whitfield Carter LLP</w:t>
    </w:r>
  </w:p>
  <w:p>
    <w:pPr>
      <w:pBdr>
        <w:bottom w:val="single" w:color="1F3864" w:sz="6" w:space="4"/>
      </w:pBdr>
      <w:spacing w:after="60"/>
      <w:jc w:val="left"/>
    </w:pPr>
    <w:r>
      <w:rPr>
        <w:rFonts w:ascii="Arial" w:cs="Arial" w:eastAsia="Arial" w:hAnsi="Arial"/>
        <w:color w:val="595959"/>
        <w:sz w:val="16"/>
        <w:szCs w:val="16"/>
      </w:rPr>
      <w:t xml:space="preserve">Solicitors  ·  22 Bishopsgate, London EC2N 4BQ  ·  DX 132 London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lvl w:ilvl="2" w15:tentative="1">
      <w:start w:val="1"/>
      <w:numFmt w:val="lowerLetter"/>
      <w:lvlText w:val="(%3)"/>
      <w:lvlJc w:val="left"/>
      <w:pPr>
        <w:ind w:left="1620" w:hanging="540"/>
      </w:pPr>
    </w:lvl>
  </w:abstractNum>
  <w:abstractNum w:abstractNumId="3" w15:restartNumberingAfterBreak="0">
    <w:multiLevelType w:val="hybridMultilevel"/>
    <w:lvl w:ilvl="0" w15:tentative="1">
      <w:start w:val="1"/>
      <w:numFmt w:val="upperLetter"/>
      <w:lvlText w:val="(%1)"/>
      <w:lvlJc w:val="left"/>
      <w:pPr>
        <w:ind w:left="720" w:hanging="72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160"/>
      <w:outlineLvl w:val="1"/>
    </w:pPr>
    <w:rPr>
      <w:rFonts w:ascii="Times New Roman" w:cs="Times New Roman" w:eastAsia="Times New Roman" w:hAnsi="Times New Roman"/>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2026-06-25T23:06:01.397Z</dcterms:created>
  <dcterms:modified xsi:type="dcterms:W3CDTF">2026-06-25T23:06:01.397Z</dcterms:modified>
</cp:coreProperties>
</file>

<file path=docProps/custom.xml><?xml version="1.0" encoding="utf-8"?>
<Properties xmlns="http://schemas.openxmlformats.org/officeDocument/2006/custom-properties" xmlns:vt="http://schemas.openxmlformats.org/officeDocument/2006/docPropsVTypes"/>
</file>