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2"/>
          <w:szCs w:val="22"/>
        </w:rPr>
        <w:t xml:space="preserve">IN THE EMPLOYMENT TRIBUNAL</w:t>
      </w:r>
    </w:p>
    <w:p>
      <w:pPr>
        <w:spacing w:after="100" w:line="264"/>
      </w:pPr>
      <w:r>
        <w:rPr>
          <w:b/>
          <w:bCs/>
        </w:rPr>
        <w:t xml:space="preserve">Case Number: 2601839/2026</w:t>
      </w:r>
    </w:p>
    <w:p>
      <w:pPr>
        <w:spacing w:after="100" w:line="264"/>
      </w:pPr>
      <w:r>
        <w:rPr>
          <w:b/>
          <w:bCs/>
        </w:rPr>
        <w:t xml:space="preserve">BETWEEN:</w:t>
      </w:r>
    </w:p>
    <w:p>
      <w:pPr>
        <w:spacing w:after="100" w:line="264"/>
      </w:pPr>
      <w:r>
        <w:t xml:space="preserve">MR GEOFFREY HARTNELL                                                                      Claimant</w:t>
      </w:r>
    </w:p>
    <w:p>
      <w:pPr>
        <w:spacing w:after="100" w:line="264"/>
      </w:pPr>
      <w:r>
        <w:t xml:space="preserve">- and -</w:t>
      </w:r>
    </w:p>
    <w:p>
      <w:pPr>
        <w:spacing w:after="100" w:line="264"/>
      </w:pPr>
      <w:r>
        <w:t xml:space="preserve">BRACKEN GROUP PLC                                                                      Respondent</w:t>
      </w:r>
    </w:p>
    <w:p>
      <w:pPr>
        <w:spacing w:after="120"/>
        <w:jc w:val="center"/>
      </w:pPr>
      <w:r>
        <w:rPr>
          <w:b/>
          <w:bCs/>
          <w:sz w:val="20"/>
          <w:szCs w:val="20"/>
        </w:rPr>
        <w:t xml:space="preserve">___________________________________________</w:t>
      </w:r>
    </w:p>
    <w:p>
      <w:pPr>
        <w:spacing w:after="120"/>
        <w:jc w:val="center"/>
      </w:pPr>
      <w:r>
        <w:rPr>
          <w:b/>
          <w:bCs/>
          <w:sz w:val="24"/>
          <w:szCs w:val="24"/>
        </w:rPr>
        <w:t xml:space="preserve">GROUNDS OF RESISTANCE (ET3)</w:t>
      </w:r>
    </w:p>
    <w:p>
      <w:pPr>
        <w:spacing w:after="120"/>
        <w:jc w:val="center"/>
      </w:pPr>
      <w:r>
        <w:rPr>
          <w:b/>
          <w:bCs/>
          <w:sz w:val="20"/>
          <w:szCs w:val="20"/>
        </w:rPr>
        <w:t xml:space="preserve">___________________________________________</w:t>
      </w:r>
    </w:p>
    <w:p>
      <w:pPr>
        <w:pStyle w:val="Heading2"/>
      </w:pPr>
      <w:r>
        <w:t xml:space="preserve">Introduction</w:t>
      </w:r>
    </w:p>
    <w:p>
      <w:pPr>
        <w:pStyle w:val="ListParagraph"/>
        <w:numPr>
          <w:ilvl w:val="1"/>
          <w:numId w:val="2"/>
        </w:numPr>
        <w:spacing w:after="100" w:line="264"/>
      </w:pPr>
      <w:r>
        <w:t xml:space="preserve">Save where expressly admitted, each and every allegation in the Claimant's claim is denied as if set out and traversed individually. The Respondent puts the Claimant to proof of the matters alleged.</w:t>
      </w:r>
    </w:p>
    <w:p>
      <w:pPr>
        <w:pStyle w:val="ListParagraph"/>
        <w:numPr>
          <w:ilvl w:val="1"/>
          <w:numId w:val="2"/>
        </w:numPr>
        <w:spacing w:after="100" w:line="264"/>
      </w:pPr>
      <w:r>
        <w:t xml:space="preserve">The Claimant was employed by the Respondent from 2 March 2009 as Group Operations Director on a gross annual salary of £142,000. The Respondent admits the dates and headline terms of employment pleaded but denies that the Claimant was dismissed unfairly or unlawfully.</w:t>
      </w:r>
    </w:p>
    <w:p>
      <w:pPr>
        <w:pStyle w:val="Heading2"/>
      </w:pPr>
      <w:r>
        <w:t xml:space="preserve">The reorganisation</w:t>
      </w:r>
    </w:p>
    <w:p>
      <w:pPr>
        <w:pStyle w:val="ListParagraph"/>
        <w:numPr>
          <w:ilvl w:val="1"/>
          <w:numId w:val="2"/>
        </w:numPr>
        <w:spacing w:after="100" w:line="264"/>
      </w:pPr>
      <w:r>
        <w:t xml:space="preserve">Following the acquisition and integration of the Helix Logistics and Greaves Precision businesses, the Respondent undertook a genuine review of the structure of its operations leadership. The review identified a need for a single Chief Operating Officer role with a broader remit spanning logistics, manufacturing and integration. The Claimant's role of Group Operations Director was, as a consequence, placed at risk of redundancy.</w:t>
      </w:r>
    </w:p>
    <w:p>
      <w:pPr>
        <w:pStyle w:val="ListParagraph"/>
        <w:numPr>
          <w:ilvl w:val="1"/>
          <w:numId w:val="2"/>
        </w:numPr>
        <w:spacing w:after="100" w:line="264"/>
      </w:pPr>
      <w:r>
        <w:t xml:space="preserve">The Respondent denies that the Chief Operating Officer role was materially identical to the Claimant's role. The new role carried materially expanded responsibilities for the integration programme, a different reporting line and a requirement for experience of post-merger integration which the review identified as a genuine business need.</w:t>
      </w:r>
    </w:p>
    <w:p>
      <w:pPr>
        <w:pStyle w:val="Heading2"/>
      </w:pPr>
      <w:r>
        <w:t xml:space="preserve">Consultation and process</w:t>
      </w:r>
    </w:p>
    <w:p>
      <w:pPr>
        <w:pStyle w:val="ListParagraph"/>
        <w:numPr>
          <w:ilvl w:val="1"/>
          <w:numId w:val="2"/>
        </w:numPr>
        <w:spacing w:after="100" w:line="264"/>
      </w:pPr>
      <w:r>
        <w:t xml:space="preserve">The Respondent consulted with the Claimant. The Claimant was invited to apply for the Chief Operating Officer role and a fair process for considering candidates was followed. The Respondent searched for suitable alternative employment for the Claimant.</w:t>
      </w:r>
    </w:p>
    <w:p>
      <w:pPr>
        <w:pStyle w:val="Heading2"/>
      </w:pPr>
      <w:r>
        <w:t xml:space="preserve">Protected disclosures (denied)</w:t>
      </w:r>
    </w:p>
    <w:p>
      <w:pPr>
        <w:pStyle w:val="ListParagraph"/>
        <w:numPr>
          <w:ilvl w:val="1"/>
          <w:numId w:val="2"/>
        </w:numPr>
        <w:spacing w:after="100" w:line="264"/>
      </w:pPr>
      <w:r>
        <w:t xml:space="preserve">The Respondent admits that the Claimant raised concerns in writing in July, September and November 2025 regarding manual-handling and load-securing arrangements. The Respondent denies that those concerns, or any of them, were the reason or principal reason for any decision concerning the Claimant's employment. The decision to review the operations leadership structure was taken for the genuine business reasons set out above and was wholly unconnected to the Claimant's memoranda, which were in any event acted upon by the Respondent's health-and-safety function.</w:t>
      </w:r>
    </w:p>
    <w:p>
      <w:pPr>
        <w:pStyle w:val="Heading2"/>
      </w:pPr>
      <w:r>
        <w:t xml:space="preserve">Age discrimination (denied)</w:t>
      </w:r>
    </w:p>
    <w:p>
      <w:pPr>
        <w:pStyle w:val="ListParagraph"/>
        <w:numPr>
          <w:ilvl w:val="1"/>
          <w:numId w:val="2"/>
        </w:numPr>
        <w:spacing w:after="100" w:line="264"/>
      </w:pPr>
      <w:r>
        <w:t xml:space="preserve">The Respondent denies that the Claimant's age played any part in any decision concerning his employment. The references to “refreshing” the leadership pleaded by the Claimant are denied; insofar as any such words were used, they referred to the breadth of the new role and not to the age of any individual. The Respondent will rely on the composition of its senior team and the objective business reasons for the reorganisation.</w:t>
      </w:r>
    </w:p>
    <w:p>
      <w:pPr>
        <w:pStyle w:val="Heading2"/>
      </w:pPr>
      <w:r>
        <w:t xml:space="preserve">Remedy</w:t>
      </w:r>
    </w:p>
    <w:p>
      <w:pPr>
        <w:pStyle w:val="ListParagraph"/>
        <w:numPr>
          <w:ilvl w:val="1"/>
          <w:numId w:val="2"/>
        </w:numPr>
        <w:spacing w:after="100" w:line="264"/>
      </w:pPr>
      <w:r>
        <w:t xml:space="preserve">If, which is denied, the Claimant succeeds in any claim, the Respondent will contend that any compensation should be reduced to reflect (a) the likelihood that the Claimant would in any event have been fairly dismissed by reason of redundancy (a Polkey reduction); (b) the Claimant's failure to mitigate his loss; and (c) the absence of any injury to feelings of the magnitude pleaded.</w:t>
      </w:r>
    </w:p>
    <w:p>
      <w:pPr>
        <w:pStyle w:val="ListParagraph"/>
        <w:numPr>
          <w:ilvl w:val="1"/>
          <w:numId w:val="2"/>
        </w:numPr>
        <w:spacing w:after="100" w:line="264"/>
      </w:pPr>
      <w:r>
        <w:t xml:space="preserve">The Respondent notes that, since the presentation of the claim, the parties have entered into a settlement agreement dated 24 April 2026 in full and final settlement of all claims, and the claim has been or will be withdrawn and dismissed upon withdrawal accordingly. These Grounds of Resistance are filed protectively and without prejudice to that settlement.</w:t>
      </w:r>
    </w:p>
    <w:p>
      <w:pPr>
        <w:spacing w:after="100" w:line="264"/>
      </w:pPr>
      <w:r>
        <w:t xml:space="preserve"/>
      </w:r>
    </w:p>
    <w:p>
      <w:pPr>
        <w:spacing w:after="100" w:line="264"/>
      </w:pPr>
      <w:r>
        <w:t xml:space="preserve">Served by: Whitfield Carter LLP, 22 Bishopsgate, London EC2N 4BQ, solicitors for the Respondent.</w:t>
      </w:r>
    </w:p>
    <w:p>
      <w:pPr>
        <w:spacing w:after="100" w:line="264"/>
      </w:pPr>
      <w:r>
        <w:t xml:space="preserve">Dated: 9 March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spacing w:before="60"/>
    </w:pPr>
    <w:r>
      <w:rPr>
        <w:rFonts w:ascii="Arial" w:cs="Arial" w:eastAsia="Arial" w:hAnsi="Arial"/>
        <w:color w:val="808080"/>
        <w:sz w:val="15"/>
        <w:szCs w:val="15"/>
      </w:rPr>
      <w:t xml:space="preserve">WC-00130  ·  Confidential and may be legally privileged.</w:t>
    </w:r>
    <w:r>
      <w:rPr>
        <w:rFonts w:ascii="Arial" w:cs="Arial" w:eastAsia="Arial" w:hAnsi="Arial"/>
        <w:color w:val="808080"/>
        <w:sz w:val="15"/>
        <w:szCs w:val="15"/>
      </w:rPr>
      <w:t xml:space="preserve">	Page </w:t>
    </w:r>
    <w:r>
      <w:rPr>
        <w:rFonts w:ascii="Arial" w:cs="Arial" w:eastAsia="Arial" w:hAnsi="Arial"/>
        <w:color w:val="808080"/>
        <w:sz w:val="15"/>
        <w:szCs w:val="15"/>
      </w:rPr>
      <w:fldChar w:fldCharType="begin"/>
      <w:instrText xml:space="preserve">PAGE</w:instrText>
      <w:fldChar w:fldCharType="separate"/>
      <w:fldChar w:fldCharType="end"/>
    </w:r>
    <w:r>
      <w:rPr>
        <w:rFonts w:ascii="Arial" w:cs="Arial" w:eastAsia="Arial" w:hAnsi="Arial"/>
        <w:color w:val="808080"/>
        <w:sz w:val="15"/>
        <w:szCs w:val="15"/>
      </w:rPr>
      <w:t xml:space="preserve"> of </w:t>
    </w:r>
    <w:r>
      <w:rPr>
        <w:rFonts w:ascii="Arial" w:cs="Arial" w:eastAsia="Arial" w:hAnsi="Arial"/>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700"/>
      </w:pPr>
    </w:lvl>
    <w:lvl w:ilvl="2" w15:tentative="1">
      <w:start w:val="1"/>
      <w:numFmt w:val="lowerLetter"/>
      <w:lvlText w:val="(%3)"/>
      <w:lvlJc w:val="left"/>
      <w:pPr>
        <w:ind w:left="1600" w:hanging="500"/>
      </w:pPr>
    </w:lvl>
    <w:lvl w:ilvl="3" w15:tentative="1">
      <w:start w:val="1"/>
      <w:numFmt w:val="lowerRoman"/>
      <w:lvlText w:val="(%4)"/>
      <w:lvlJc w:val="left"/>
      <w:pPr>
        <w:ind w:left="2100" w:hanging="500"/>
      </w:pPr>
    </w:lvl>
  </w:abstractNum>
  <w:abstractNum w:abstractNumId="3" w15:restartNumberingAfterBreak="0">
    <w:multiLevelType w:val="hybridMultilevel"/>
    <w:lvl w:ilvl="0" w15:tentative="1">
      <w:start w:val="1"/>
      <w:numFmt w:val="upperLetter"/>
      <w:lvlText w:val="(%1)"/>
      <w:lvlJc w:val="left"/>
      <w:pPr>
        <w:ind w:left="600" w:hanging="600"/>
      </w:pPr>
    </w:lvl>
  </w:abstractNum>
  <w:abstractNum w:abstractNumId="4"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80" w:before="14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2026-06-25T23:02:18.882Z</dcterms:created>
  <dcterms:modified xsi:type="dcterms:W3CDTF">2026-06-25T23:02:18.882Z</dcterms:modified>
</cp:coreProperties>
</file>

<file path=docProps/custom.xml><?xml version="1.0" encoding="utf-8"?>
<Properties xmlns="http://schemas.openxmlformats.org/officeDocument/2006/custom-properties" xmlns:vt="http://schemas.openxmlformats.org/officeDocument/2006/docPropsVTypes"/>
</file>