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PRIVATE &amp; CONFIDENTIAL</w:t>
      </w:r>
    </w:p>
    <w:p>
      <w:pPr>
        <w:spacing w:after="120" w:line="276"/>
      </w:pPr>
      <w:r>
        <w:t xml:space="preserve">Mr Richard Calloway</w:t>
      </w:r>
    </w:p>
    <w:p>
      <w:pPr>
        <w:spacing w:after="120" w:line="276"/>
      </w:pPr>
      <w:r>
        <w:t xml:space="preserve">General Counsel</w:t>
      </w:r>
    </w:p>
    <w:p>
      <w:pPr>
        <w:spacing w:after="120" w:line="276"/>
      </w:pPr>
      <w:r>
        <w:t xml:space="preserve">Bracken Group plc</w:t>
      </w:r>
    </w:p>
    <w:p>
      <w:pPr>
        <w:spacing w:after="120" w:line="276"/>
      </w:pPr>
      <w:r>
        <w:t xml:space="preserve">Bracken House, 60 Cornwall Street, Birmingham B3 2DX</w:t>
      </w:r>
    </w:p>
    <w:p>
      <w:pPr>
        <w:spacing w:after="120" w:line="276"/>
      </w:pPr>
      <w:r>
        <w:t xml:space="preserve"/>
      </w:r>
    </w:p>
    <w:p>
      <w:pPr>
        <w:spacing w:after="120" w:line="276"/>
      </w:pPr>
      <w:r>
        <w:rPr>
          <w:b/>
          <w:bCs/>
        </w:rPr>
        <w:t xml:space="preserve">Our ref: </w:t>
      </w:r>
      <w:r>
        <w:t xml:space="preserve">SJW/EM/WC-00130</w:t>
      </w:r>
      <w:r>
        <w:rPr>
          <w:b w:val="false"/>
          <w:bCs w:val="false"/>
        </w:rPr>
        <w:t xml:space="preserve">          Date: 21 January 2026</w:t>
      </w:r>
    </w:p>
    <w:p>
      <w:pPr>
        <w:spacing w:after="120" w:line="276"/>
      </w:pPr>
      <w:r>
        <w:t xml:space="preserve"/>
      </w:r>
    </w:p>
    <w:p>
      <w:pPr>
        <w:spacing w:after="120" w:line="276"/>
      </w:pPr>
      <w:r>
        <w:t xml:space="preserve">Dear Richard</w:t>
      </w:r>
    </w:p>
    <w:p>
      <w:pPr>
        <w:spacing w:after="120" w:line="276"/>
      </w:pPr>
      <w:r>
        <w:rPr>
          <w:b/>
          <w:bCs/>
        </w:rPr>
        <w:t xml:space="preserve">Proposed exit of Mr Geoffrey Hartnell (Group Operations Director) – terms of engagement</w:t>
      </w:r>
    </w:p>
    <w:p>
      <w:pPr>
        <w:spacing w:after="120" w:line="276"/>
      </w:pPr>
      <w:r>
        <w:t xml:space="preserve">Thank you for instructing Whitfield Carter LLP in connection with the proposed termination of the employment of Mr Geoffrey Hartnell, Group Operations Director, and the negotiation of a settlement agreement under section 203 of the Employment Rights Act 1996 and the related statutory provisions. This letter, together with the enclosed Terms of Business, sets out the basis on which we will act.</w:t>
      </w:r>
    </w:p>
    <w:p>
      <w:pPr>
        <w:pStyle w:val="Heading2"/>
      </w:pPr>
      <w:r>
        <w:t xml:space="preserve">1.  Scope of our engagement</w:t>
      </w:r>
    </w:p>
    <w:p>
      <w:pPr>
        <w:spacing w:after="120" w:line="276"/>
      </w:pPr>
      <w:r>
        <w:t xml:space="preserve">We are instructed to advise Bracken Group plc (the “Company”) on the following: (a) the legal framework for terminating Mr Hartnell's employment, including the risks attaching to dismissal in the context of a group reorganisation; (b) the conduct of a protected conversation under section 111A of the Employment Rights Act 1996; (c) the response to the grievance dated 9 January 2026; (d) the drafting and negotiation of a settlement agreement and ancillary documents; and (e) if settlement is not achieved, the defence of any claim brought before the Employment Tribunal.</w:t>
      </w:r>
    </w:p>
    <w:p>
      <w:pPr>
        <w:spacing w:after="120" w:line="276"/>
      </w:pPr>
      <w:r>
        <w:t xml:space="preserve">Our engagement does not extend to advising any individual director or employee in their personal capacity, nor to advising on the tax affairs of Mr Hartnell. Mr Hartnell will be separately advised by his own solicitor as required by section 203(3) of the Employment Rights Act 1996.</w:t>
      </w:r>
    </w:p>
    <w:p>
      <w:pPr>
        <w:pStyle w:val="Heading2"/>
      </w:pPr>
      <w:r>
        <w:t xml:space="preserve">2.  The people handling your matter</w:t>
      </w:r>
    </w:p>
    <w:p>
      <w:pPr>
        <w:spacing w:after="120" w:line="276"/>
      </w:pPr>
      <w:r>
        <w:t xml:space="preserve">The partner responsible for this matter is Sarah Whitfield. The day-to-day conduct of the matter will be handled by Tom Gallagher (Associate), supported by Elena Marchetti (Associate). You may contact any member of the team by telephone on 020 7946 0000 or by email.</w:t>
      </w:r>
    </w:p>
    <w:p>
      <w:pPr>
        <w:pStyle w:val="Heading2"/>
      </w:pPr>
      <w:r>
        <w:t xml:space="preserve">3.  Our fees</w:t>
      </w:r>
    </w:p>
    <w:p>
      <w:pPr>
        <w:spacing w:after="120" w:line="276"/>
      </w:pPr>
      <w:r>
        <w:t xml:space="preserve">Our charges are based on the time spent on your matter. The hourly rates (exclusive of VAT) currently applicable to the team are: Sarah Whitfield (Partner) – £595; Tom Gallagher (Associate) – £375; Elena Marchetti (Associate) – £320. We estimate that the cost of advising on and negotiating the settlement, assuming matters proceed to a concluded agreement without contested Tribunal proceedings, will be in the region of £18,000 to £26,000 plus VAT and disbursements. Should the matter proceed to a defended Tribunal claim, a separate estimate will be provided.</w:t>
      </w:r>
    </w:p>
    <w:p>
      <w:pPr>
        <w:spacing w:after="120" w:line="276"/>
      </w:pPr>
      <w:r>
        <w:t xml:space="preserve">It is common for an employer to contribute towards the employee's legal costs of taking advice on a settlement agreement. We anticipate that a contribution of £750 to £1,500 plus VAT will be appropriate in this matter; this is a matter for negotiation and forms part of the overall settlement cost.</w:t>
      </w:r>
    </w:p>
    <w:p>
      <w:pPr>
        <w:pStyle w:val="Heading2"/>
      </w:pPr>
      <w:r>
        <w:t xml:space="preserve">4.  Confidentiality and privilege</w:t>
      </w:r>
    </w:p>
    <w:p>
      <w:pPr>
        <w:spacing w:after="120" w:line="276"/>
      </w:pPr>
      <w:r>
        <w:t xml:space="preserve">All communications between us are confidential and, where they relate to the giving or receiving of legal advice, are protected by legal advice privilege. Correspondence conducted on a “without prejudice” basis or under section 111A is not generally admissible in Tribunal proceedings. We will mark correspondence accordingly.</w:t>
      </w:r>
    </w:p>
    <w:p>
      <w:pPr>
        <w:pStyle w:val="Heading2"/>
      </w:pPr>
      <w:r>
        <w:t xml:space="preserve">5.  Data protection and anti-money laundering</w:t>
      </w:r>
    </w:p>
    <w:p>
      <w:pPr>
        <w:spacing w:after="120" w:line="276"/>
      </w:pPr>
      <w:r>
        <w:t xml:space="preserve">We will process personal data relating to this matter in accordance with our Privacy Notice and the UK GDPR. As you are an existing client of the firm, we have already completed our client due diligence under the Money Laundering, Terrorist Financing and Transfer of Funds (Information on the Payer) Regulations 2017 and no further verification is presently required.</w:t>
      </w:r>
    </w:p>
    <w:p>
      <w:pPr>
        <w:pStyle w:val="Heading2"/>
      </w:pPr>
      <w:r>
        <w:t xml:space="preserve">6.  Acceptance</w:t>
      </w:r>
    </w:p>
    <w:p>
      <w:pPr>
        <w:spacing w:after="120" w:line="276"/>
      </w:pPr>
      <w:r>
        <w:t xml:space="preserve">Please confirm your acceptance of these terms by returning a signed copy of the enclosed Terms of Business. In the meantime, we will proceed on the basis set out above. We look forward to working with you on this matter.</w:t>
      </w:r>
    </w:p>
    <w:p>
      <w:pPr>
        <w:spacing w:after="120" w:line="276"/>
      </w:pPr>
      <w:r>
        <w:t xml:space="preserve"/>
      </w:r>
    </w:p>
    <w:p>
      <w:pPr>
        <w:spacing w:after="120" w:line="276"/>
      </w:pPr>
      <w:r>
        <w:t xml:space="preserve">Yours sincerely</w:t>
      </w:r>
    </w:p>
    <w:p>
      <w:pPr>
        <w:spacing w:after="120" w:line="276"/>
      </w:pPr>
      <w:r>
        <w:t xml:space="preserve"/>
      </w:r>
    </w:p>
    <w:p>
      <w:pPr>
        <w:spacing w:after="120" w:line="276"/>
      </w:pPr>
      <w:r>
        <w:rPr>
          <w:b/>
          <w:bCs/>
        </w:rPr>
        <w:t xml:space="preserve">Sarah Whitfield</w:t>
      </w:r>
    </w:p>
    <w:p>
      <w:pPr>
        <w:spacing w:after="120" w:line="276"/>
      </w:pPr>
      <w:r>
        <w:t xml:space="preserve">Partner | Employment</w:t>
      </w:r>
    </w:p>
    <w:p>
      <w:pPr>
        <w:spacing w:after="120" w:line="276"/>
      </w:pPr>
      <w:r>
        <w:t xml:space="preserve">Whitfield Carter LLP</w:t>
      </w:r>
    </w:p>
    <w:p>
      <w:pPr>
        <w:spacing w:after="120" w:line="276"/>
      </w:pPr>
      <w:r>
        <w:t xml:space="preserve">sarah.whitfield@whitfieldcarter.com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b/>
        <w:bCs/>
        <w:color w:val="1F3864"/>
        <w:sz w:val="30"/>
        <w:szCs w:val="30"/>
      </w:rPr>
      <w:t xml:space="preserve">Whitfield Carter LLP</w:t>
    </w:r>
  </w:p>
  <w:p>
    <w:pPr>
      <w:pBdr>
        <w:bottom w:val="single" w:color="1F3864" w:sz="6" w:space="4"/>
      </w:pBdr>
      <w:spacing w:after="60"/>
      <w:jc w:val="left"/>
    </w:pPr>
    <w:r>
      <w:rPr>
        <w:rFonts w:ascii="Arial" w:cs="Arial" w:eastAsia="Arial" w:hAnsi="Arial"/>
        <w:color w:val="595959"/>
        <w:sz w:val="16"/>
        <w:szCs w:val="16"/>
      </w:rPr>
      <w:t xml:space="preserve">Solicitors  ·  22 Bishopsgate, London EC2N 4BQ  ·  DX 132 London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620" w:hanging="54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2026-06-25T23:06:01.319Z</dcterms:created>
  <dcterms:modified xsi:type="dcterms:W3CDTF">2026-06-25T23:06:01.319Z</dcterms:modified>
</cp:coreProperties>
</file>

<file path=docProps/custom.xml><?xml version="1.0" encoding="utf-8"?>
<Properties xmlns="http://schemas.openxmlformats.org/officeDocument/2006/custom-properties" xmlns:vt="http://schemas.openxmlformats.org/officeDocument/2006/docPropsVTypes"/>
</file>