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2"/>
          <w:szCs w:val="22"/>
        </w:rPr>
        <w:t xml:space="preserve">DATED 2 MARCH 2017</w:t>
      </w:r>
    </w:p>
    <w:p>
      <w:pPr>
        <w:spacing w:after="100" w:line="264"/>
      </w:pPr>
      <w:r>
        <w:t xml:space="preserve"/>
      </w:r>
    </w:p>
    <w:p>
      <w:pPr>
        <w:spacing w:after="120"/>
        <w:jc w:val="center"/>
      </w:pPr>
      <w:r>
        <w:rPr>
          <w:b/>
          <w:bCs/>
          <w:sz w:val="24"/>
          <w:szCs w:val="24"/>
        </w:rPr>
        <w:t xml:space="preserve">(1)  BRACKEN GROUP PLC</w:t>
      </w:r>
    </w:p>
    <w:p>
      <w:pPr>
        <w:spacing w:after="120"/>
        <w:jc w:val="center"/>
      </w:pPr>
      <w:r>
        <w:rPr>
          <w:b/>
          <w:bCs/>
          <w:sz w:val="22"/>
          <w:szCs w:val="22"/>
        </w:rPr>
        <w:t xml:space="preserve">- and -</w:t>
      </w:r>
    </w:p>
    <w:p>
      <w:pPr>
        <w:spacing w:after="120"/>
        <w:jc w:val="center"/>
      </w:pPr>
      <w:r>
        <w:rPr>
          <w:b/>
          <w:bCs/>
          <w:sz w:val="24"/>
          <w:szCs w:val="24"/>
        </w:rPr>
        <w:t xml:space="preserve">(2)  GEOFFREY ALAN HARTNELL</w:t>
      </w:r>
    </w:p>
    <w:p>
      <w:pPr>
        <w:spacing w:after="120"/>
        <w:jc w:val="center"/>
      </w:pPr>
      <w:r>
        <w:rPr>
          <w:b/>
          <w:bCs/>
          <w:sz w:val="22"/>
          <w:szCs w:val="22"/>
        </w:rPr>
        <w:t xml:space="preserve">____________________________________</w:t>
      </w:r>
    </w:p>
    <w:p>
      <w:pPr>
        <w:spacing w:after="120"/>
        <w:jc w:val="center"/>
      </w:pPr>
      <w:r>
        <w:rPr>
          <w:b/>
          <w:bCs/>
          <w:sz w:val="30"/>
          <w:szCs w:val="30"/>
        </w:rPr>
        <w:t xml:space="preserve">SERVICE AGREEMENT</w:t>
      </w:r>
    </w:p>
    <w:p>
      <w:pPr>
        <w:spacing w:after="120"/>
        <w:jc w:val="center"/>
      </w:pPr>
      <w:r>
        <w:rPr>
          <w:b/>
          <w:bCs/>
          <w:sz w:val="22"/>
          <w:szCs w:val="22"/>
        </w:rPr>
        <w:t xml:space="preserve">(Group Operations Director)</w:t>
      </w:r>
    </w:p>
    <w:p>
      <w:pPr>
        <w:spacing w:after="120"/>
        <w:jc w:val="center"/>
      </w:pPr>
      <w:r>
        <w:rPr>
          <w:b/>
          <w:bCs/>
          <w:sz w:val="22"/>
          <w:szCs w:val="22"/>
        </w:rPr>
        <w:t xml:space="preserve">____________________________________</w:t>
      </w:r>
    </w:p>
    <w:p>
      <w:r>
        <w:br w:type="page"/>
      </w:r>
    </w:p>
    <w:p>
      <w:pPr>
        <w:spacing w:after="100" w:line="264"/>
      </w:pPr>
      <w:r>
        <w:rPr>
          <w:b/>
          <w:bCs/>
        </w:rPr>
        <w:t xml:space="preserve">THIS AGREEMENT is made on 2 March 2017 BETWEEN Bracken Group plc (registered number 03987612) whose registered office is at Bracken House, 60 Cornwall Street, Birmingham B3 2DX (the “Company”) and Geoffrey Alan Hartnell of 14 Wollaton Hall Drive, Nottingham NG8 1AF (the “Executive”).</w:t>
      </w:r>
    </w:p>
    <w:p>
      <w:pPr>
        <w:pStyle w:val="Heading2"/>
      </w:pPr>
      <w:r>
        <w:t xml:space="preserve">1.  Appointment and term</w:t>
      </w:r>
    </w:p>
    <w:p>
      <w:pPr>
        <w:pStyle w:val="ListParagraph"/>
        <w:numPr>
          <w:ilvl w:val="1"/>
          <w:numId w:val="2"/>
        </w:numPr>
        <w:spacing w:after="100" w:line="264"/>
      </w:pPr>
      <w:r>
        <w:t xml:space="preserve">The Company employs the Executive and the Executive agrees to serve the Company as Group Operations Director on the terms of this agreement. The Executive's period of continuous employment began on 2 March 2009.</w:t>
      </w:r>
    </w:p>
    <w:p>
      <w:pPr>
        <w:pStyle w:val="ListParagraph"/>
        <w:numPr>
          <w:ilvl w:val="1"/>
          <w:numId w:val="2"/>
        </w:numPr>
        <w:spacing w:after="100" w:line="264"/>
      </w:pPr>
      <w:r>
        <w:t xml:space="preserve">The employment is subject to termination in accordance with clause 14 and will otherwise continue until the Executive's normal retirement, there being no fixed retirement age.</w:t>
      </w:r>
    </w:p>
    <w:p>
      <w:pPr>
        <w:pStyle w:val="Heading2"/>
      </w:pPr>
      <w:r>
        <w:t xml:space="preserve">2.  Duties</w:t>
      </w:r>
    </w:p>
    <w:p>
      <w:pPr>
        <w:pStyle w:val="ListParagraph"/>
        <w:numPr>
          <w:ilvl w:val="1"/>
          <w:numId w:val="2"/>
        </w:numPr>
        <w:spacing w:after="100" w:line="264"/>
      </w:pPr>
      <w:r>
        <w:t xml:space="preserve">The Executive will have responsibility for the operations, logistics, manufacturing and health-and-safety functions of the Company and its subsidiaries and will perform such duties consistent with his position as the Board may from time to time reasonably require.</w:t>
      </w:r>
    </w:p>
    <w:p>
      <w:pPr>
        <w:pStyle w:val="ListParagraph"/>
        <w:numPr>
          <w:ilvl w:val="1"/>
          <w:numId w:val="2"/>
        </w:numPr>
        <w:spacing w:after="100" w:line="264"/>
      </w:pPr>
      <w:r>
        <w:t xml:space="preserve">The Executive will devote the whole of his working time, attention and abilities to the business of the Company and will faithfully and diligently perform his duties and use his best endeavours to promote the interests of the Company.</w:t>
      </w:r>
    </w:p>
    <w:p>
      <w:pPr>
        <w:pStyle w:val="Heading2"/>
      </w:pPr>
      <w:r>
        <w:t xml:space="preserve">3.  Remuneration</w:t>
      </w:r>
    </w:p>
    <w:p>
      <w:pPr>
        <w:pStyle w:val="ListParagraph"/>
        <w:numPr>
          <w:ilvl w:val="1"/>
          <w:numId w:val="2"/>
        </w:numPr>
        <w:spacing w:after="100" w:line="264"/>
      </w:pPr>
      <w:r>
        <w:t xml:space="preserve">The Company will pay the Executive a basic salary of £142,000 per annum (the salary as at the date of variation in 2025), payable in equal monthly instalments in arrears. The salary will be reviewed annually but the Company is under no obligation to increase it.</w:t>
      </w:r>
    </w:p>
    <w:p>
      <w:pPr>
        <w:pStyle w:val="ListParagraph"/>
        <w:numPr>
          <w:ilvl w:val="1"/>
          <w:numId w:val="2"/>
        </w:numPr>
        <w:spacing w:after="100" w:line="264"/>
      </w:pPr>
      <w:r>
        <w:t xml:space="preserve">The Executive is eligible to participate in the Company's annual discretionary bonus scheme, subject to its rules as amended from time to time, with a target opportunity of 30% of basic salary.</w:t>
      </w:r>
    </w:p>
    <w:p>
      <w:pPr>
        <w:pStyle w:val="ListParagraph"/>
        <w:numPr>
          <w:ilvl w:val="1"/>
          <w:numId w:val="2"/>
        </w:numPr>
        <w:spacing w:after="100" w:line="264"/>
      </w:pPr>
      <w:r>
        <w:t xml:space="preserve">The Executive will receive a car allowance of £11,400 per annum, payable monthly with salary and subject to deductions.</w:t>
      </w:r>
    </w:p>
    <w:p>
      <w:pPr>
        <w:pStyle w:val="Heading2"/>
      </w:pPr>
      <w:r>
        <w:t xml:space="preserve">4.  Pension and benefits</w:t>
      </w:r>
    </w:p>
    <w:p>
      <w:pPr>
        <w:pStyle w:val="ListParagraph"/>
        <w:numPr>
          <w:ilvl w:val="1"/>
          <w:numId w:val="2"/>
        </w:numPr>
        <w:spacing w:after="100" w:line="264"/>
      </w:pPr>
      <w:r>
        <w:t xml:space="preserve">The Executive is eligible to join the Company's group personal pension scheme, to which the Company will contribute an amount equal to 10% of basic salary subject to the Executive contributing at least 5%.</w:t>
      </w:r>
    </w:p>
    <w:p>
      <w:pPr>
        <w:pStyle w:val="ListParagraph"/>
        <w:numPr>
          <w:ilvl w:val="1"/>
          <w:numId w:val="2"/>
        </w:numPr>
        <w:spacing w:after="100" w:line="264"/>
      </w:pPr>
      <w:r>
        <w:t xml:space="preserve">The Company will provide private medical insurance for the Executive and his immediate family, permanent health insurance and life assurance of four times basic salary, in each case subject to the rules of the relevant scheme.</w:t>
      </w:r>
    </w:p>
    <w:p>
      <w:pPr>
        <w:pStyle w:val="Heading2"/>
      </w:pPr>
      <w:r>
        <w:t xml:space="preserve">5.  Holidays</w:t>
      </w:r>
    </w:p>
    <w:p>
      <w:pPr>
        <w:pStyle w:val="ListParagraph"/>
        <w:numPr>
          <w:ilvl w:val="1"/>
          <w:numId w:val="2"/>
        </w:numPr>
        <w:spacing w:after="100" w:line="264"/>
      </w:pPr>
      <w:r>
        <w:t xml:space="preserve">The Executive is entitled to 30 working days' paid holiday in each holiday year in addition to public holidays. Holiday entitlement accrues pro rata. On termination the Executive will be paid in lieu of accrued but untaken holiday.</w:t>
      </w:r>
    </w:p>
    <w:p>
      <w:pPr>
        <w:pStyle w:val="Heading2"/>
      </w:pPr>
      <w:r>
        <w:t xml:space="preserve">14.  Termination and notice</w:t>
      </w:r>
    </w:p>
    <w:p>
      <w:pPr>
        <w:pStyle w:val="ListParagraph"/>
        <w:numPr>
          <w:ilvl w:val="1"/>
          <w:numId w:val="2"/>
        </w:numPr>
        <w:spacing w:after="100" w:line="264"/>
      </w:pPr>
      <w:r>
        <w:t xml:space="preserve">Either party may terminate the employment by giving the other not less than twelve months' written notice.</w:t>
      </w:r>
    </w:p>
    <w:p>
      <w:pPr>
        <w:pStyle w:val="ListParagraph"/>
        <w:numPr>
          <w:ilvl w:val="1"/>
          <w:numId w:val="2"/>
        </w:numPr>
        <w:spacing w:after="100" w:line="264"/>
      </w:pPr>
      <w:r>
        <w:t xml:space="preserve">The Company may terminate the employment with immediate effect and without notice or payment in lieu if the Executive is guilty of gross misconduct or commits a serious or repeated breach of his obligations under this agreement.</w:t>
      </w:r>
    </w:p>
    <w:p>
      <w:pPr>
        <w:pStyle w:val="ListParagraph"/>
        <w:numPr>
          <w:ilvl w:val="1"/>
          <w:numId w:val="2"/>
        </w:numPr>
        <w:spacing w:after="100" w:line="264"/>
      </w:pPr>
      <w:r>
        <w:t xml:space="preserve">The Company may, in its absolute discretion, terminate the employment at any time by paying the Executive a sum in lieu of notice (or the unexpired part of the notice period) equal to the basic salary the Executive would have received during the notice period.</w:t>
      </w:r>
    </w:p>
    <w:p>
      <w:pPr>
        <w:pStyle w:val="ListParagraph"/>
        <w:numPr>
          <w:ilvl w:val="1"/>
          <w:numId w:val="2"/>
        </w:numPr>
        <w:spacing w:after="100" w:line="264"/>
      </w:pPr>
      <w:r>
        <w:t xml:space="preserve">The Company may require the Executive to take garden leave for all or part of any notice period, during which the Executive will continue to receive salary and benefits but may be excluded from the Company's premises and systems.</w:t>
      </w:r>
    </w:p>
    <w:p>
      <w:pPr>
        <w:pStyle w:val="Heading2"/>
      </w:pPr>
      <w:r>
        <w:t xml:space="preserve">18.  Post-termination restrictions</w:t>
      </w:r>
    </w:p>
    <w:p>
      <w:pPr>
        <w:pStyle w:val="ListParagraph"/>
        <w:numPr>
          <w:ilvl w:val="1"/>
          <w:numId w:val="2"/>
        </w:numPr>
        <w:spacing w:after="100" w:line="264"/>
      </w:pPr>
      <w:r>
        <w:t xml:space="preserve">In order to protect the legitimate business interests of the Company, the Executive covenants that he will not, for a period of nine months after the termination of his employment, directly or indirectly:</w:t>
      </w:r>
    </w:p>
    <w:p>
      <w:pPr>
        <w:pStyle w:val="ListParagraph"/>
        <w:numPr>
          <w:ilvl w:val="2"/>
          <w:numId w:val="2"/>
        </w:numPr>
        <w:spacing w:after="100" w:line="264"/>
      </w:pPr>
      <w:r>
        <w:t xml:space="preserve">be engaged or concerned in any business which competes with the business of the Company or any group company carried on at the Termination Date and with which the Executive was materially concerned in the twelve months before termination;</w:t>
      </w:r>
    </w:p>
    <w:p>
      <w:pPr>
        <w:pStyle w:val="ListParagraph"/>
        <w:numPr>
          <w:ilvl w:val="2"/>
          <w:numId w:val="2"/>
        </w:numPr>
        <w:spacing w:after="100" w:line="264"/>
      </w:pPr>
      <w:r>
        <w:t xml:space="preserve">solicit or entice away any senior employee of the Company with whom he had material dealings in the twelve months before termination; or</w:t>
      </w:r>
    </w:p>
    <w:p>
      <w:pPr>
        <w:pStyle w:val="ListParagraph"/>
        <w:numPr>
          <w:ilvl w:val="2"/>
          <w:numId w:val="2"/>
        </w:numPr>
        <w:spacing w:after="100" w:line="264"/>
      </w:pPr>
      <w:r>
        <w:t xml:space="preserve">solicit the custom of any client or customer of the Company with whom he had material dealings in the twelve months before termination.</w:t>
      </w:r>
    </w:p>
    <w:p>
      <w:pPr>
        <w:pStyle w:val="ListParagraph"/>
        <w:numPr>
          <w:ilvl w:val="1"/>
          <w:numId w:val="2"/>
        </w:numPr>
        <w:spacing w:after="100" w:line="264"/>
      </w:pPr>
      <w:r>
        <w:t xml:space="preserve">Each of the restrictions in this clause is a separate and severable undertaking and is considered by the parties to be reasonable and necessary.</w:t>
      </w:r>
    </w:p>
    <w:p>
      <w:pPr>
        <w:spacing w:after="100" w:line="264"/>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Mar>
              <w:top w:type="dxa" w:w="60"/>
              <w:left w:type="dxa" w:w="0"/>
              <w:bottom w:type="dxa" w:w="60"/>
              <w:right w:type="dxa" w:w="200"/>
            </w:tcMar>
          </w:tcPr>
          <w:p>
            <w:pPr>
              <w:spacing w:after="200"/>
            </w:pPr>
            <w:r>
              <w:rPr>
                <w:sz w:val="20"/>
                <w:szCs w:val="20"/>
              </w:rPr>
              <w:t xml:space="preserve">SIGNED for and on behalf of</w:t>
            </w:r>
          </w:p>
          <w:p>
            <w:pPr>
              <w:spacing w:after="200"/>
            </w:pPr>
            <w:r>
              <w:rPr>
                <w:sz w:val="20"/>
                <w:szCs w:val="20"/>
              </w:rPr>
              <w:t xml:space="preserve">BRACKEN GROUP PLC</w:t>
            </w:r>
          </w:p>
          <w:p>
            <w:pPr>
              <w:spacing w:after="200"/>
            </w:pPr>
            <w:r>
              <w:rPr>
                <w:sz w:val="20"/>
                <w:szCs w:val="20"/>
              </w:rPr>
              <w:t xml:space="preserve"/>
            </w:r>
          </w:p>
          <w:p>
            <w:pPr>
              <w:spacing w:after="200"/>
            </w:pPr>
            <w:r>
              <w:rPr>
                <w:sz w:val="20"/>
                <w:szCs w:val="20"/>
              </w:rPr>
              <w:t xml:space="preserve">Signature: ...........................</w:t>
            </w:r>
          </w:p>
          <w:p>
            <w:pPr>
              <w:spacing w:after="200"/>
            </w:pPr>
            <w:r>
              <w:rPr>
                <w:sz w:val="20"/>
                <w:szCs w:val="20"/>
              </w:rPr>
              <w:t xml:space="preserve">Director</w:t>
            </w:r>
          </w:p>
        </w:tc>
        <w:tc>
          <w:tcPr>
            <w:tcW w:type="dxa" w:w="4513"/>
            <w:tcBorders>
              <w:top w:val="none"/>
              <w:left w:val="none"/>
              <w:bottom w:val="none"/>
              <w:right w:val="none"/>
            </w:tcBorders>
            <w:tcMar>
              <w:top w:type="dxa" w:w="60"/>
              <w:left w:type="dxa" w:w="200"/>
              <w:bottom w:type="dxa" w:w="60"/>
              <w:right w:type="dxa" w:w="0"/>
            </w:tcMar>
          </w:tcPr>
          <w:p>
            <w:pPr>
              <w:spacing w:after="200"/>
            </w:pPr>
            <w:r>
              <w:rPr>
                <w:sz w:val="20"/>
                <w:szCs w:val="20"/>
              </w:rPr>
              <w:t xml:space="preserve">SIGNED by</w:t>
            </w:r>
          </w:p>
          <w:p>
            <w:pPr>
              <w:spacing w:after="200"/>
            </w:pPr>
            <w:r>
              <w:rPr>
                <w:sz w:val="20"/>
                <w:szCs w:val="20"/>
              </w:rPr>
              <w:t xml:space="preserve">GEOFFREY ALAN HARTNELL</w:t>
            </w:r>
          </w:p>
          <w:p>
            <w:pPr>
              <w:spacing w:after="200"/>
            </w:pPr>
            <w:r>
              <w:rPr>
                <w:sz w:val="20"/>
                <w:szCs w:val="20"/>
              </w:rPr>
              <w:t xml:space="preserve"/>
            </w:r>
          </w:p>
          <w:p>
            <w:pPr>
              <w:spacing w:after="200"/>
            </w:pPr>
            <w:r>
              <w:rPr>
                <w:sz w:val="20"/>
                <w:szCs w:val="20"/>
              </w:rPr>
              <w:t xml:space="preserve">Signature: ...........................</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rFonts w:ascii="Arial" w:cs="Arial" w:eastAsia="Arial" w:hAnsi="Arial"/>
        <w:color w:val="808080"/>
        <w:sz w:val="15"/>
        <w:szCs w:val="15"/>
      </w:rPr>
      <w:t xml:space="preserve">WC-00130  ·  Confidential and may be legally privileged.</w:t>
    </w:r>
    <w:r>
      <w:rPr>
        <w:rFonts w:ascii="Arial" w:cs="Arial" w:eastAsia="Arial" w:hAnsi="Arial"/>
        <w:color w:val="808080"/>
        <w:sz w:val="15"/>
        <w:szCs w:val="15"/>
      </w:rPr>
      <w:t xml:space="preserve">	Page </w:t>
    </w:r>
    <w:r>
      <w:rPr>
        <w:rFonts w:ascii="Arial" w:cs="Arial" w:eastAsia="Arial" w:hAnsi="Arial"/>
        <w:color w:val="808080"/>
        <w:sz w:val="15"/>
        <w:szCs w:val="15"/>
      </w:rPr>
      <w:fldChar w:fldCharType="begin"/>
      <w:instrText xml:space="preserve">PAGE</w:instrText>
      <w:fldChar w:fldCharType="separate"/>
      <w:fldChar w:fldCharType="end"/>
    </w:r>
    <w:r>
      <w:rPr>
        <w:rFonts w:ascii="Arial" w:cs="Arial" w:eastAsia="Arial" w:hAnsi="Arial"/>
        <w:color w:val="808080"/>
        <w:sz w:val="15"/>
        <w:szCs w:val="15"/>
      </w:rPr>
      <w:t xml:space="preserve"> of </w:t>
    </w:r>
    <w:r>
      <w:rPr>
        <w:rFonts w:ascii="Arial" w:cs="Arial" w:eastAsia="Arial" w:hAnsi="Arial"/>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700"/>
      </w:pPr>
    </w:lvl>
    <w:lvl w:ilvl="2" w15:tentative="1">
      <w:start w:val="1"/>
      <w:numFmt w:val="lowerLetter"/>
      <w:lvlText w:val="(%3)"/>
      <w:lvlJc w:val="left"/>
      <w:pPr>
        <w:ind w:left="1600" w:hanging="500"/>
      </w:pPr>
    </w:lvl>
    <w:lvl w:ilvl="3" w15:tentative="1">
      <w:start w:val="1"/>
      <w:numFmt w:val="lowerRoman"/>
      <w:lvlText w:val="(%4)"/>
      <w:lvlJc w:val="left"/>
      <w:pPr>
        <w:ind w:left="2100" w:hanging="500"/>
      </w:pPr>
    </w:lvl>
  </w:abstractNum>
  <w:abstractNum w:abstractNumId="3" w15:restartNumberingAfterBreak="0">
    <w:multiLevelType w:val="hybridMultilevel"/>
    <w:lvl w:ilvl="0" w15:tentative="1">
      <w:start w:val="1"/>
      <w:numFmt w:val="upperLetter"/>
      <w:lvlText w:val="(%1)"/>
      <w:lvlJc w:val="left"/>
      <w:pPr>
        <w:ind w:left="600" w:hanging="600"/>
      </w:pPr>
    </w:lvl>
  </w:abstractNum>
  <w:abstractNum w:abstractNumId="4"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4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2026-06-25T23:02:18.855Z</dcterms:created>
  <dcterms:modified xsi:type="dcterms:W3CDTF">2026-06-25T23:02:18.855Z</dcterms:modified>
</cp:coreProperties>
</file>

<file path=docProps/custom.xml><?xml version="1.0" encoding="utf-8"?>
<Properties xmlns="http://schemas.openxmlformats.org/officeDocument/2006/custom-properties" xmlns:vt="http://schemas.openxmlformats.org/officeDocument/2006/docPropsVTypes"/>
</file>